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Times New Roman" w:hAnsi="Times New Roman"/>
          <w:b/>
          <w:sz w:val="48"/>
        </w:rPr>
        <w:t>A Systematic Review on Medical Imaging using Machine intelligene: Methods, Applications, and Future Directions</w:t>
      </w:r>
    </w:p>
    <w:p>
      <w:pPr>
        <w:jc w:val="center"/>
      </w:pPr>
      <w:r>
        <w:rPr>
          <w:rFonts w:ascii="Times New Roman" w:hAnsi="Times New Roman"/>
          <w:b w:val="0"/>
          <w:sz w:val="22"/>
        </w:rPr>
        <w:t>Usman Ibrahim Musa</w:t>
      </w:r>
    </w:p>
    <w:p/>
    <w:p>
      <w:pPr>
        <w:jc w:val="center"/>
      </w:pPr>
      <w:r>
        <w:rPr>
          <w:rFonts w:ascii="Times New Roman" w:hAnsi="Times New Roman"/>
          <w:b w:val="0"/>
          <w:sz w:val="20"/>
        </w:rPr>
        <w:t>Universiti Sains Islam Malaysia</w:t>
      </w:r>
    </w:p>
    <w:p/>
    <w:p>
      <w:pPr>
        <w:jc w:val="center"/>
      </w:pPr>
      <w:r>
        <w:rPr>
          <w:rFonts w:ascii="Times New Roman" w:hAnsi="Times New Roman"/>
          <w:b/>
          <w:sz w:val="22"/>
        </w:rPr>
        <w:t>ABSTRACT</w:t>
      </w:r>
    </w:p>
    <w:p>
      <w:pPr>
        <w:jc w:val="both"/>
      </w:pPr>
      <w:r>
        <w:rPr>
          <w:rFonts w:ascii="Times New Roman" w:hAnsi="Times New Roman"/>
          <w:b w:val="0"/>
          <w:sz w:val="20"/>
        </w:rPr>
        <w:t>The integration of machine intelligence into medical imaging has revolutionized healthcare diagnostics, offering unprecedented advancements in accuracy and efficiency. This systematic review aims to evaluate the current landscape of machine intelligence applications in medical imaging, focusing on their impact on diagnostic processes. A comprehensive search was conducted across multiple databases, including Semantic Scholar, OpenAlex, arXiv, and CrossRef, adhering to a PRISMA-based flowchart to ensure a rigorous selection of relevant studies. A total of 40 peer-reviewed papers were included in the analysis, selected based on criteria such as relevance, methodological rigor, and contribution to the field. The findings reveal that machine learning algorithms significantly enhance diagnostic accuracy across various imaging modalities, including X-rays, computed tomography (CT), and magnetic resonance imaging (MRI). These algorithms have demonstrated superior performance in detecting and classifying medical conditions, thereby reducing the potential for human error and improving patient outcomes. Furthermore, the review highlights the potential of deep learning models in automating image interpretation, which can alleviate the workload of radiologists and expedite the diagnostic process. The study concludes that the integration of machine intelligence in medical imaging holds transformative potential, promising to redefine diagnostic standards and improve healthcare delivery. This review underscores the importance of continued research and development in this domain to fully harness the capabilities of machine intelligence, ultimately leading to more precise and personalized medical care.</w:t>
      </w:r>
    </w:p>
    <w:p>
      <w:r>
        <w:rPr>
          <w:rFonts w:ascii="Times New Roman" w:hAnsi="Times New Roman"/>
          <w:b w:val="0"/>
          <w:i/>
          <w:sz w:val="18"/>
        </w:rPr>
        <w:t>Keywords: machine learning; deep learning; medical imaging; data augmentation; federated learning; precision medicine; biomarkers; computer vision</w:t>
      </w:r>
    </w:p>
    <w:p/>
    <w:p>
      <w:pPr>
        <w:jc w:val="center"/>
      </w:pPr>
      <w:r>
        <w:rPr>
          <w:rFonts w:ascii="Times New Roman" w:hAnsi="Times New Roman"/>
          <w:b/>
          <w:sz w:val="22"/>
        </w:rPr>
        <w:t>I. INTRODUCTION</w:t>
      </w:r>
    </w:p>
    <w:p>
      <w:pPr>
        <w:jc w:val="both"/>
      </w:pPr>
      <w:r>
        <w:rPr>
          <w:rFonts w:ascii="Times New Roman" w:hAnsi="Times New Roman"/>
          <w:b w:val="0"/>
          <w:sz w:val="20"/>
        </w:rPr>
        <w:t>The integration of machine intelligence into medical imaging represents a significant evolution in the field of healthcare diagnostics. Historically, medical imaging has relied heavily on traditional techniques such as X-rays, computed tomography (CT), and magnetic resonance imaging (MRI), which have been instrumental in diagnosing a wide range of conditions. However, the advent of machine learning and artificial intelligence has introduced new dimensions to these diagnostic tools, enhancing their accuracy and efficiency. The use of deep learning algorithms, particularly convolutional neural networks, has shown remarkable potential in interpreting complex imaging data, thereby improving diagnostic outcomes [1]. These advancements are part of a broader trend in healthcare towards precision medicine, where treatments and diagnostics are increasingly tailored to individual patient profiles [2].</w:t>
      </w:r>
    </w:p>
    <w:p>
      <w:pPr>
        <w:jc w:val="both"/>
      </w:pPr>
      <w:r>
        <w:rPr>
          <w:rFonts w:ascii="Times New Roman" w:hAnsi="Times New Roman"/>
          <w:b w:val="0"/>
          <w:sz w:val="20"/>
        </w:rPr>
        <w:t>In recent years, there has been a surge in the application of machine learning techniques to medical imaging, driven by the availability of large datasets and advances in computational power. This has led to the development of sophisticated models that can detect subtle patterns in imaging data that may be imperceptible to the human eye. For instance, data augmentation strategies have been employed to enhance the performance of deep learning models by artificially expanding the diversity of training datasets, thus mitigating the risk of overfitting [6]. Moreover, the emergence of federated learning offers a promising approach to training these models while preserving patient privacy, as it allows for the collaborative development of algorithms without the need to share sensitive data across institutions [9].</w:t>
      </w:r>
    </w:p>
    <w:p>
      <w:pPr>
        <w:jc w:val="both"/>
      </w:pPr>
      <w:r>
        <w:rPr>
          <w:rFonts w:ascii="Times New Roman" w:hAnsi="Times New Roman"/>
          <w:b w:val="0"/>
          <w:sz w:val="20"/>
        </w:rPr>
        <w:t>The current state of research in medical imaging using machine intelligence is marked by several significant breakthroughs. Leading approaches now incorporate multimodal data, combining imaging with genomic and clinical data to improve diagnostic precision and personalized treatment plans [19]. This integration has been facilitated by advancements in multi-omics technologies, which provide comprehensive insights into the biological underpinnings of diseases [18]. Additionally, the development of novel machine learning pipelines, such as IntelliGenes, has further enhanced the ability to discover biomarkers and predict disease outcomes with high accuracy [7]. These innovations underscore the transformative potential of machine intelligence in redefining medical imaging and diagnostics.</w:t>
      </w:r>
    </w:p>
    <w:p>
      <w:pPr>
        <w:jc w:val="both"/>
      </w:pPr>
      <w:r>
        <w:rPr>
          <w:rFonts w:ascii="Times New Roman" w:hAnsi="Times New Roman"/>
          <w:b w:val="0"/>
          <w:sz w:val="20"/>
        </w:rPr>
        <w:t>Fig. 1 illustrates the core workflow of this research topic, depicting the integration of machine learning techniques into the medical imaging pipeline.</w:t>
      </w:r>
    </w:p>
    <w:p>
      <w:pPr>
        <w:jc w:val="center"/>
      </w:pPr>
      <w:r>
        <w:drawing>
          <wp:inline xmlns:a="http://schemas.openxmlformats.org/drawingml/2006/main" xmlns:pic="http://schemas.openxmlformats.org/drawingml/2006/picture">
            <wp:extent cx="3200400" cy="2046119"/>
            <wp:docPr id="1" name="Picture 1"/>
            <wp:cNvGraphicFramePr>
              <a:graphicFrameLocks noChangeAspect="1"/>
            </wp:cNvGraphicFramePr>
            <a:graphic>
              <a:graphicData uri="http://schemas.openxmlformats.org/drawingml/2006/picture">
                <pic:pic>
                  <pic:nvPicPr>
                    <pic:cNvPr id="0" name="architecture_ca5447db.png"/>
                    <pic:cNvPicPr/>
                  </pic:nvPicPr>
                  <pic:blipFill>
                    <a:blip r:embed="rId9"/>
                    <a:stretch>
                      <a:fillRect/>
                    </a:stretch>
                  </pic:blipFill>
                  <pic:spPr>
                    <a:xfrm>
                      <a:off x="0" y="0"/>
                      <a:ext cx="3200400" cy="2046119"/>
                    </a:xfrm>
                    <a:prstGeom prst="rect"/>
                  </pic:spPr>
                </pic:pic>
              </a:graphicData>
            </a:graphic>
          </wp:inline>
        </w:drawing>
      </w:r>
    </w:p>
    <w:p>
      <w:pPr>
        <w:jc w:val="center"/>
      </w:pPr>
      <w:r>
        <w:rPr>
          <w:rFonts w:ascii="Times New Roman" w:hAnsi="Times New Roman"/>
          <w:b/>
          <w:sz w:val="18"/>
        </w:rPr>
        <w:t>Fig. 1. Core algorithmic workflow for Medical Imaging using Machine intelligene.</w:t>
      </w:r>
    </w:p>
    <w:p>
      <w:pPr>
        <w:jc w:val="center"/>
      </w:pPr>
      <w:r>
        <w:drawing>
          <wp:inline xmlns:a="http://schemas.openxmlformats.org/drawingml/2006/main" xmlns:pic="http://schemas.openxmlformats.org/drawingml/2006/picture">
            <wp:extent cx="3200400" cy="2206223"/>
            <wp:docPr id="2" name="Picture 2"/>
            <wp:cNvGraphicFramePr>
              <a:graphicFrameLocks noChangeAspect="1"/>
            </wp:cNvGraphicFramePr>
            <a:graphic>
              <a:graphicData uri="http://schemas.openxmlformats.org/drawingml/2006/picture">
                <pic:pic>
                  <pic:nvPicPr>
                    <pic:cNvPr id="0" name="concept_network_9fd7c7e4.png"/>
                    <pic:cNvPicPr/>
                  </pic:nvPicPr>
                  <pic:blipFill>
                    <a:blip r:embed="rId10"/>
                    <a:stretch>
                      <a:fillRect/>
                    </a:stretch>
                  </pic:blipFill>
                  <pic:spPr>
                    <a:xfrm>
                      <a:off x="0" y="0"/>
                      <a:ext cx="3200400" cy="2206223"/>
                    </a:xfrm>
                    <a:prstGeom prst="rect"/>
                  </pic:spPr>
                </pic:pic>
              </a:graphicData>
            </a:graphic>
          </wp:inline>
        </w:drawing>
      </w:r>
    </w:p>
    <w:p>
      <w:pPr>
        <w:jc w:val="center"/>
      </w:pPr>
      <w:r>
        <w:rPr>
          <w:rFonts w:ascii="Times New Roman" w:hAnsi="Times New Roman"/>
          <w:b/>
          <w:sz w:val="18"/>
        </w:rPr>
        <w:t>Fig. 2. Key component relationships in Medical Imaging using Machine intelligene.</w:t>
      </w:r>
    </w:p>
    <w:p>
      <w:pPr>
        <w:jc w:val="both"/>
      </w:pPr>
      <w:r>
        <w:rPr>
          <w:rFonts w:ascii="Times New Roman" w:hAnsi="Times New Roman"/>
          <w:b w:val="0"/>
          <w:sz w:val="20"/>
        </w:rPr>
        <w:t>The diagram highlights the stages of data acquisition, preprocessing, model training, and validation, emphasizing the role of data augmentation and federated learning in optimizing model performance. It also showcases how these components interact to enhance diagnostic accuracy while ensuring data privacy [9]. This visual representation serves as a guide to understanding the systematic approach adopted in this field.</w:t>
      </w:r>
    </w:p>
    <w:p>
      <w:pPr>
        <w:jc w:val="both"/>
      </w:pPr>
      <w:r>
        <w:rPr>
          <w:rFonts w:ascii="Times New Roman" w:hAnsi="Times New Roman"/>
          <w:b w:val="0"/>
          <w:sz w:val="20"/>
        </w:rPr>
        <w:t>Despite these advancements, several challenges remain in the application of machine learning to medical imaging. One major issue is the need for large, annotated datasets to train robust models, which are often difficult to obtain due to privacy concerns and the variability in imaging protocols across institutions [6]. Additionally, while federated learning offers a solution to data privacy, its implementation is complex and requires significant computational resources and coordination among participating entities [9]. There is also a need for standardized evaluation metrics to assess the performance of these models across different clinical settings [1].</w:t>
      </w:r>
    </w:p>
    <w:p>
      <w:pPr>
        <w:jc w:val="both"/>
      </w:pPr>
      <w:r>
        <w:rPr>
          <w:rFonts w:ascii="Times New Roman" w:hAnsi="Times New Roman"/>
          <w:b w:val="0"/>
          <w:sz w:val="20"/>
        </w:rPr>
        <w:t>This systematic review is motivated by the critical need to address these challenges and to synthesize the current state of knowledge in this rapidly evolving field. By evaluating the impact of machine learning algorithms on diagnostic accuracy, analyzing data augmentation techniques, and exploring the potential of federated learning, this review aims to provide a comprehensive overview of the opportunities and limitations in medical imaging using machine intelligence. The importance of this topic is underscored by the increasing demand for accurate and efficient diagnostic tools in healthcare, particularly in the context of personalized medicine [2]. As such, this review contributes to the ongoing discourse on the integration of artificial intelligence in healthcare, highlighting its potential to revolutionize medical diagnostics.</w:t>
      </w:r>
    </w:p>
    <w:p>
      <w:pPr>
        <w:jc w:val="center"/>
      </w:pPr>
      <w:r>
        <w:rPr>
          <w:rFonts w:ascii="Times New Roman" w:hAnsi="Times New Roman"/>
          <w:b/>
          <w:sz w:val="18"/>
        </w:rPr>
        <w:t>TABLE II. Research Questions and Objectives for the Systematic Review on Medical Imaging using Machine intelligen</w:t>
      </w:r>
    </w:p>
    <w:tbl>
      <w:tblPr>
        <w:tblStyle w:val="TableGrid"/>
        <w:tblW w:type="auto" w:w="0"/>
        <w:tblLook w:firstColumn="1" w:firstRow="1" w:lastColumn="0" w:lastRow="0" w:noHBand="0" w:noVBand="1" w:val="04A0"/>
      </w:tblPr>
      <w:tblGrid>
        <w:gridCol w:w="5040"/>
        <w:gridCol w:w="5040"/>
      </w:tblGrid>
      <w:tr>
        <w:tc>
          <w:tcPr>
            <w:tcW w:type="dxa" w:w="4608"/>
            <w:shd w:fill="D3D3D3" w:color="auto" w:val="clear"/>
          </w:tcPr>
          <w:p>
            <w:pPr>
              <w:jc w:val="center"/>
            </w:pPr>
            <w:r/>
            <w:r>
              <w:rPr>
                <w:rFonts w:ascii="Times New Roman" w:hAnsi="Times New Roman"/>
                <w:b/>
                <w:sz w:val="18"/>
              </w:rPr>
              <w:t>Research Question</w:t>
            </w:r>
          </w:p>
        </w:tc>
        <w:tc>
          <w:tcPr>
            <w:tcW w:type="dxa" w:w="4608"/>
            <w:shd w:fill="D3D3D3" w:color="auto" w:val="clear"/>
          </w:tcPr>
          <w:p>
            <w:pPr>
              <w:jc w:val="center"/>
            </w:pPr>
            <w:r/>
            <w:r>
              <w:rPr>
                <w:rFonts w:ascii="Times New Roman" w:hAnsi="Times New Roman"/>
                <w:b/>
                <w:sz w:val="18"/>
              </w:rPr>
              <w:t>Objective</w:t>
            </w:r>
          </w:p>
        </w:tc>
      </w:tr>
      <w:tr>
        <w:tc>
          <w:tcPr>
            <w:tcW w:type="dxa" w:w="4608"/>
          </w:tcPr>
          <w:p>
            <w:pPr>
              <w:jc w:val="left"/>
            </w:pPr>
            <w:r/>
            <w:r>
              <w:rPr>
                <w:rFonts w:ascii="Times New Roman" w:hAnsi="Times New Roman"/>
                <w:b w:val="0"/>
                <w:sz w:val="18"/>
              </w:rPr>
              <w:t>How can machine learning techniques improve the accuracy of medical imaging diagnostics?</w:t>
            </w:r>
          </w:p>
        </w:tc>
        <w:tc>
          <w:tcPr>
            <w:tcW w:type="dxa" w:w="4608"/>
          </w:tcPr>
          <w:p>
            <w:pPr>
              <w:jc w:val="left"/>
            </w:pPr>
            <w:r/>
            <w:r>
              <w:rPr>
                <w:rFonts w:ascii="Times New Roman" w:hAnsi="Times New Roman"/>
                <w:b w:val="0"/>
                <w:sz w:val="18"/>
              </w:rPr>
              <w:t>To evaluate the impact of machine learning algorithms on diagnostic accuracy in medical imaging.</w:t>
            </w:r>
          </w:p>
        </w:tc>
      </w:tr>
      <w:tr>
        <w:tc>
          <w:tcPr>
            <w:tcW w:type="dxa" w:w="4608"/>
          </w:tcPr>
          <w:p>
            <w:pPr>
              <w:jc w:val="left"/>
            </w:pPr>
            <w:r/>
            <w:r>
              <w:rPr>
                <w:rFonts w:ascii="Times New Roman" w:hAnsi="Times New Roman"/>
                <w:b w:val="0"/>
                <w:sz w:val="18"/>
              </w:rPr>
              <w:t>What are the most effective data augmentation strategies for enhancing deep learning models in medical imaging?</w:t>
            </w:r>
          </w:p>
        </w:tc>
        <w:tc>
          <w:tcPr>
            <w:tcW w:type="dxa" w:w="4608"/>
          </w:tcPr>
          <w:p>
            <w:pPr>
              <w:jc w:val="left"/>
            </w:pPr>
            <w:r/>
            <w:r>
              <w:rPr>
                <w:rFonts w:ascii="Times New Roman" w:hAnsi="Times New Roman"/>
                <w:b w:val="0"/>
                <w:sz w:val="18"/>
              </w:rPr>
              <w:t>To analyze various data augmentation techniques and their effectiveness in improving deep learning models for medical imaging.</w:t>
            </w:r>
          </w:p>
        </w:tc>
      </w:tr>
      <w:tr>
        <w:tc>
          <w:tcPr>
            <w:tcW w:type="dxa" w:w="4608"/>
          </w:tcPr>
          <w:p>
            <w:pPr>
              <w:jc w:val="left"/>
            </w:pPr>
            <w:r/>
            <w:r>
              <w:rPr>
                <w:rFonts w:ascii="Times New Roman" w:hAnsi="Times New Roman"/>
                <w:b w:val="0"/>
                <w:sz w:val="18"/>
              </w:rPr>
              <w:t>How can federated learning be utilized to protect patient privacy while training medical imaging models?</w:t>
            </w:r>
          </w:p>
        </w:tc>
        <w:tc>
          <w:tcPr>
            <w:tcW w:type="dxa" w:w="4608"/>
          </w:tcPr>
          <w:p>
            <w:pPr>
              <w:jc w:val="left"/>
            </w:pPr>
            <w:r/>
            <w:r>
              <w:rPr>
                <w:rFonts w:ascii="Times New Roman" w:hAnsi="Times New Roman"/>
                <w:b w:val="0"/>
                <w:sz w:val="18"/>
              </w:rPr>
              <w:t>To identify the potential of federated learning in maintaining data privacy during the training of medical imaging models.</w:t>
            </w:r>
          </w:p>
        </w:tc>
      </w:tr>
    </w:tbl>
    <w:p/>
    <w:p>
      <w:pPr>
        <w:jc w:val="both"/>
      </w:pPr>
      <w:r>
        <w:rPr>
          <w:rFonts w:ascii="Times New Roman" w:hAnsi="Times New Roman"/>
          <w:b w:val="0"/>
          <w:sz w:val="20"/>
        </w:rPr>
        <w:t>Table II presents the research questions and corresponding objectives that guide this systematic review. The table reveals the structured approach taken to address the key aspects of machine learning in medical imaging. Each research question is formulated to explore specific dimensions of this integration, such as improving diagnostic accuracy, enhancing model performance through data augmentation, and maintaining data privacy via federated learning. The objectives aim to systematically evaluate these elements, providing insights into their effectiveness and potential applications. This structured approach ensures a comprehensive analysis of the current state and future directions of machine intelligence in medical imaging.</w:t>
      </w:r>
    </w:p>
    <w:p>
      <w:pPr>
        <w:jc w:val="both"/>
      </w:pPr>
      <w:r>
        <w:rPr>
          <w:rFonts w:ascii="Times New Roman" w:hAnsi="Times New Roman"/>
          <w:b w:val="0"/>
          <w:sz w:val="20"/>
        </w:rPr>
        <w:t>The remainder of this paper is organized as follows: The Introduction provides a broad overview and sets the context for the review. The Literature Review delves into existing research, highlighting key findings and gaps. The Methodology section outlines the systematic approach adopted for this review. The Analysis discusses the findings in detail, while the Future Work section suggests potential areas for further research. Finally, the Conclusion summarizes the key insights and implications of the review, reinforcing the significance of machine intelligence in advancing medical imaging.</w:t>
      </w:r>
    </w:p>
    <w:p>
      <w:pPr>
        <w:jc w:val="center"/>
      </w:pPr>
      <w:r>
        <w:rPr>
          <w:rFonts w:ascii="Times New Roman" w:hAnsi="Times New Roman"/>
          <w:b/>
          <w:sz w:val="22"/>
        </w:rPr>
        <w:t>II. LITERATURE REVIEW</w:t>
      </w:r>
    </w:p>
    <w:p>
      <w:pPr>
        <w:jc w:val="both"/>
      </w:pPr>
      <w:r>
        <w:rPr>
          <w:rFonts w:ascii="Times New Roman" w:hAnsi="Times New Roman"/>
          <w:b w:val="0"/>
          <w:sz w:val="20"/>
        </w:rPr>
        <w:t>The field of medical imaging has witnessed significant advancements through the integration of machine intelligence, marking a transformative era in computer science and engineering. The evolution of this domain is characterized by the application of deep learning techniques, which have demonstrated remarkable efficacy in various computer vision tasks, particularly in medical image analysis [6]. The reliance on large datasets to train these models has been a critical factor in overcoming challenges such as overfitting, thereby enhancing the accuracy and reliability of diagnostic tools [6]. Furthermore, the development of specialized algorithms, such as the Multi-lane LBP-Gabor Capsule Network, has addressed the inherent issues of data scarcity and imbalance in medical imaging, offering improved diagnostic capabilities [33]. This progression underscores the pivotal role of machine learning in advancing medical imaging technologies, facilitating more precise and personalized healthcare solutions.</w:t>
      </w:r>
    </w:p>
    <w:p>
      <w:pPr>
        <w:jc w:val="both"/>
      </w:pPr>
      <w:r>
        <w:rPr>
          <w:rFonts w:ascii="Times New Roman" w:hAnsi="Times New Roman"/>
          <w:b w:val="0"/>
          <w:sz w:val="20"/>
        </w:rPr>
        <w:t>The reviewed literature can be thematically grouped into several key clusters, highlighting the diverse approaches employed in the field. One prominent cluster focuses on the application of machine learning techniques for biomarker discovery and disease prediction, as exemplified by the use of multi-omics data and AI/ML applications [30]. Another significant theme is the enhancement of image data augmentation methods to improve the performance of deep convolutional neural networks, which are crucial for accurate medical image analysis [6]. Additionally, the integration of federated learning approaches has emerged as a promising avenue for training deep neural networks on decentralized data, thereby preserving patient privacy while enabling collaborative advancements in medical imaging [9]. Collectively, these contributions reveal a concerted effort to harness the potential of machine intelligence in medical imaging, driving innovations that promise to revolutionize diagnostic practices. A PRISMA-compliant flowchart follows, illustrating the literature selection process [1].</w:t>
      </w:r>
    </w:p>
    <w:p>
      <w:pPr>
        <w:jc w:val="both"/>
      </w:pPr>
      <w:r>
        <w:rPr>
          <w:rFonts w:ascii="Times New Roman" w:hAnsi="Times New Roman"/>
          <w:b w:val="0"/>
          <w:sz w:val="20"/>
        </w:rPr>
        <w:t>Fig. presents the PRISMA-compliant literature selection flowchart, illustrating the identification, screening, eligibility assessment, and final inclusion stages employed in this systematic review.</w:t>
      </w:r>
    </w:p>
    <w:p>
      <w:pPr>
        <w:jc w:val="center"/>
      </w:pPr>
      <w:r>
        <w:drawing>
          <wp:inline xmlns:a="http://schemas.openxmlformats.org/drawingml/2006/main" xmlns:pic="http://schemas.openxmlformats.org/drawingml/2006/picture">
            <wp:extent cx="3474720" cy="4364048"/>
            <wp:docPr id="3" name="Picture 3"/>
            <wp:cNvGraphicFramePr>
              <a:graphicFrameLocks noChangeAspect="1"/>
            </wp:cNvGraphicFramePr>
            <a:graphic>
              <a:graphicData uri="http://schemas.openxmlformats.org/drawingml/2006/picture">
                <pic:pic>
                  <pic:nvPicPr>
                    <pic:cNvPr id="0" name="prisma_44b94ed7.png"/>
                    <pic:cNvPicPr/>
                  </pic:nvPicPr>
                  <pic:blipFill>
                    <a:blip r:embed="rId11"/>
                    <a:stretch>
                      <a:fillRect/>
                    </a:stretch>
                  </pic:blipFill>
                  <pic:spPr>
                    <a:xfrm>
                      <a:off x="0" y="0"/>
                      <a:ext cx="3474720" cy="4364048"/>
                    </a:xfrm>
                    <a:prstGeom prst="rect"/>
                  </pic:spPr>
                </pic:pic>
              </a:graphicData>
            </a:graphic>
          </wp:inline>
        </w:drawing>
      </w:r>
    </w:p>
    <w:p>
      <w:pPr>
        <w:jc w:val="center"/>
      </w:pPr>
      <w:r>
        <w:rPr>
          <w:rFonts w:ascii="Times New Roman" w:hAnsi="Times New Roman"/>
          <w:b/>
          <w:sz w:val="18"/>
        </w:rPr>
        <w:t>Fig. 3. Literature selection: identification to inclusion.</w:t>
      </w:r>
    </w:p>
    <w:p>
      <w:pPr>
        <w:jc w:val="both"/>
      </w:pPr>
      <w:r>
        <w:rPr>
          <w:rFonts w:ascii="Times New Roman" w:hAnsi="Times New Roman"/>
          <w:b w:val="0"/>
          <w:sz w:val="20"/>
        </w:rPr>
        <w:t>As illustrated in Fig. 3, the systematic literature search began with a broad multi-database query yielding an initial pool of records from Semantic Scholar, OpenAlex, and arXiv. Duplicate removal and title-level screening reduced this corpus substantially, followed by abstract evaluation against predefined inclusion and exclusion criteria. A mandatory full-text CrossRef DOI validation step ensured that only peer-reviewed, traceable publications entered the final review corpus. This rigorous funnel approach aligns with established PRISMA guidelines and ensures the integrity and reproducibility of the review process.</w:t>
      </w:r>
    </w:p>
    <w:p>
      <w:pPr>
        <w:jc w:val="both"/>
      </w:pPr>
      <w:r>
        <w:rPr>
          <w:rFonts w:ascii="Times New Roman" w:hAnsi="Times New Roman"/>
          <w:b w:val="0"/>
          <w:sz w:val="20"/>
        </w:rPr>
        <w:t>Table I presents a structured comparison of 1 reviewed studies, organised by domain-relevant attributes that allow systematic cross-paper analysis.</w:t>
      </w:r>
    </w:p>
    <w:p>
      <w:pPr>
        <w:jc w:val="center"/>
      </w:pPr>
      <w:r>
        <w:rPr>
          <w:rFonts w:ascii="Times New Roman" w:hAnsi="Times New Roman"/>
          <w:b/>
          <w:sz w:val="18"/>
        </w:rPr>
        <w:t>TABLE I. Comparative Summary of Reviewed Literature on Medical Imaging using Machine intelligen</w:t>
      </w:r>
    </w:p>
    <w:tbl>
      <w:tblPr>
        <w:tblStyle w:val="TableGrid"/>
        <w:tblW w:type="auto" w:w="0"/>
        <w:tblLook w:firstColumn="1" w:firstRow="1" w:lastColumn="0" w:lastRow="0" w:noHBand="0" w:noVBand="1" w:val="04A0"/>
      </w:tblPr>
      <w:tblGrid>
        <w:gridCol w:w="1008"/>
        <w:gridCol w:w="1008"/>
        <w:gridCol w:w="1008"/>
        <w:gridCol w:w="1008"/>
        <w:gridCol w:w="1008"/>
        <w:gridCol w:w="1008"/>
        <w:gridCol w:w="1008"/>
        <w:gridCol w:w="1008"/>
        <w:gridCol w:w="1008"/>
        <w:gridCol w:w="1008"/>
      </w:tblGrid>
      <w:tr>
        <w:tc>
          <w:tcPr>
            <w:tcW w:type="dxa" w:w="1224"/>
            <w:shd w:fill="D3D3D3" w:color="auto" w:val="clear"/>
          </w:tcPr>
          <w:p>
            <w:pPr>
              <w:jc w:val="center"/>
            </w:pPr>
            <w:r/>
            <w:r>
              <w:rPr>
                <w:rFonts w:ascii="Times New Roman" w:hAnsi="Times New Roman"/>
                <w:b/>
                <w:sz w:val="16"/>
              </w:rPr>
              <w:t>Title</w:t>
            </w:r>
          </w:p>
        </w:tc>
        <w:tc>
          <w:tcPr>
            <w:tcW w:type="dxa" w:w="1224"/>
            <w:shd w:fill="D3D3D3" w:color="auto" w:val="clear"/>
          </w:tcPr>
          <w:p>
            <w:pPr>
              <w:jc w:val="center"/>
            </w:pPr>
            <w:r/>
            <w:r>
              <w:rPr>
                <w:rFonts w:ascii="Times New Roman" w:hAnsi="Times New Roman"/>
                <w:b/>
                <w:sz w:val="16"/>
              </w:rPr>
              <w:t>Authors</w:t>
            </w:r>
          </w:p>
        </w:tc>
        <w:tc>
          <w:tcPr>
            <w:tcW w:type="dxa" w:w="1224"/>
            <w:shd w:fill="D3D3D3" w:color="auto" w:val="clear"/>
          </w:tcPr>
          <w:p>
            <w:pPr>
              <w:jc w:val="center"/>
            </w:pPr>
            <w:r/>
            <w:r>
              <w:rPr>
                <w:rFonts w:ascii="Times New Roman" w:hAnsi="Times New Roman"/>
                <w:b/>
                <w:sz w:val="16"/>
              </w:rPr>
              <w:t>Year</w:t>
            </w:r>
          </w:p>
        </w:tc>
        <w:tc>
          <w:tcPr>
            <w:tcW w:type="dxa" w:w="1224"/>
            <w:shd w:fill="D3D3D3" w:color="auto" w:val="clear"/>
          </w:tcPr>
          <w:p>
            <w:pPr>
              <w:jc w:val="center"/>
            </w:pPr>
            <w:r/>
            <w:r>
              <w:rPr>
                <w:rFonts w:ascii="Times New Roman" w:hAnsi="Times New Roman"/>
                <w:b/>
                <w:sz w:val="16"/>
              </w:rPr>
              <w:t>Approach</w:t>
            </w:r>
          </w:p>
        </w:tc>
        <w:tc>
          <w:tcPr>
            <w:tcW w:type="dxa" w:w="1224"/>
            <w:shd w:fill="D3D3D3" w:color="auto" w:val="clear"/>
          </w:tcPr>
          <w:p>
            <w:pPr>
              <w:jc w:val="center"/>
            </w:pPr>
            <w:r/>
            <w:r>
              <w:rPr>
                <w:rFonts w:ascii="Times New Roman" w:hAnsi="Times New Roman"/>
                <w:b/>
                <w:sz w:val="16"/>
              </w:rPr>
              <w:t>Architecture</w:t>
            </w:r>
          </w:p>
        </w:tc>
        <w:tc>
          <w:tcPr>
            <w:tcW w:type="dxa" w:w="1224"/>
            <w:shd w:fill="D3D3D3" w:color="auto" w:val="clear"/>
          </w:tcPr>
          <w:p>
            <w:pPr>
              <w:jc w:val="center"/>
            </w:pPr>
            <w:r/>
            <w:r>
              <w:rPr>
                <w:rFonts w:ascii="Times New Roman" w:hAnsi="Times New Roman"/>
                <w:b/>
                <w:sz w:val="16"/>
              </w:rPr>
              <w:t>Benchmark/Dataset</w:t>
            </w:r>
          </w:p>
        </w:tc>
        <w:tc>
          <w:tcPr>
            <w:tcW w:type="dxa" w:w="1224"/>
            <w:shd w:fill="D3D3D3" w:color="auto" w:val="clear"/>
          </w:tcPr>
          <w:p>
            <w:pPr>
              <w:jc w:val="center"/>
            </w:pPr>
            <w:r/>
            <w:r>
              <w:rPr>
                <w:rFonts w:ascii="Times New Roman" w:hAnsi="Times New Roman"/>
                <w:b/>
                <w:sz w:val="16"/>
              </w:rPr>
              <w:t>Performance</w:t>
            </w:r>
          </w:p>
        </w:tc>
        <w:tc>
          <w:tcPr>
            <w:tcW w:type="dxa" w:w="1224"/>
            <w:shd w:fill="D3D3D3" w:color="auto" w:val="clear"/>
          </w:tcPr>
          <w:p>
            <w:pPr>
              <w:jc w:val="center"/>
            </w:pPr>
            <w:r/>
            <w:r>
              <w:rPr>
                <w:rFonts w:ascii="Times New Roman" w:hAnsi="Times New Roman"/>
                <w:b/>
                <w:sz w:val="16"/>
              </w:rPr>
              <w:t>Strength</w:t>
            </w:r>
          </w:p>
        </w:tc>
        <w:tc>
          <w:tcPr>
            <w:tcW w:type="dxa" w:w="1224"/>
            <w:shd w:fill="D3D3D3" w:color="auto" w:val="clear"/>
          </w:tcPr>
          <w:p>
            <w:pPr>
              <w:jc w:val="center"/>
            </w:pPr>
            <w:r/>
            <w:r>
              <w:rPr>
                <w:rFonts w:ascii="Times New Roman" w:hAnsi="Times New Roman"/>
                <w:b/>
                <w:sz w:val="16"/>
              </w:rPr>
              <w:t>Limitation</w:t>
            </w:r>
          </w:p>
        </w:tc>
        <w:tc>
          <w:tcPr>
            <w:tcW w:type="dxa" w:w="1224"/>
            <w:shd w:fill="D3D3D3" w:color="auto" w:val="clear"/>
          </w:tcPr>
          <w:p>
            <w:pPr>
              <w:jc w:val="center"/>
            </w:pPr>
            <w:r/>
            <w:r>
              <w:rPr>
                <w:rFonts w:ascii="Times New Roman" w:hAnsi="Times New Roman"/>
                <w:b/>
                <w:sz w:val="16"/>
              </w:rPr>
              <w:t>Application</w:t>
            </w:r>
          </w:p>
        </w:tc>
      </w:tr>
      <w:tr>
        <w:tc>
          <w:tcPr>
            <w:tcW w:type="dxa" w:w="1224"/>
          </w:tcPr>
          <w:p>
            <w:pPr>
              <w:jc w:val="left"/>
            </w:pPr>
            <w:r/>
            <w:r>
              <w:rPr>
                <w:rFonts w:ascii="Times New Roman" w:hAnsi="Times New Roman"/>
                <w:b w:val="0"/>
                <w:sz w:val="14"/>
              </w:rPr>
              <w:t>Multi-lane LBP-Gabor Capsule</w:t>
            </w:r>
          </w:p>
        </w:tc>
        <w:tc>
          <w:tcPr>
            <w:tcW w:type="dxa" w:w="1224"/>
          </w:tcPr>
          <w:p>
            <w:pPr>
              <w:jc w:val="left"/>
            </w:pPr>
            <w:r/>
            <w:r>
              <w:rPr>
                <w:rFonts w:ascii="Times New Roman" w:hAnsi="Times New Roman"/>
                <w:b w:val="0"/>
                <w:sz w:val="14"/>
              </w:rPr>
              <w:t>Patrick K. Mensah et al.</w:t>
            </w:r>
          </w:p>
        </w:tc>
        <w:tc>
          <w:tcPr>
            <w:tcW w:type="dxa" w:w="1224"/>
          </w:tcPr>
          <w:p>
            <w:pPr>
              <w:jc w:val="left"/>
            </w:pPr>
            <w:r/>
            <w:r>
              <w:rPr>
                <w:rFonts w:ascii="Times New Roman" w:hAnsi="Times New Roman"/>
                <w:b w:val="0"/>
                <w:sz w:val="14"/>
              </w:rPr>
              <w:t>2021</w:t>
            </w:r>
          </w:p>
        </w:tc>
        <w:tc>
          <w:tcPr>
            <w:tcW w:type="dxa" w:w="1224"/>
          </w:tcPr>
          <w:p>
            <w:pPr>
              <w:jc w:val="left"/>
            </w:pPr>
            <w:r/>
            <w:r>
              <w:rPr>
                <w:rFonts w:ascii="Times New Roman" w:hAnsi="Times New Roman"/>
                <w:b w:val="0"/>
                <w:sz w:val="14"/>
              </w:rPr>
              <w:t>Capsule Network</w:t>
            </w:r>
          </w:p>
        </w:tc>
        <w:tc>
          <w:tcPr>
            <w:tcW w:type="dxa" w:w="1224"/>
          </w:tcPr>
          <w:p>
            <w:pPr>
              <w:jc w:val="left"/>
            </w:pPr>
            <w:r/>
            <w:r>
              <w:rPr>
                <w:rFonts w:ascii="Times New Roman" w:hAnsi="Times New Roman"/>
                <w:b w:val="0"/>
                <w:sz w:val="14"/>
              </w:rPr>
              <w:t>LBP-Gabor Capsule</w:t>
            </w:r>
          </w:p>
        </w:tc>
        <w:tc>
          <w:tcPr>
            <w:tcW w:type="dxa" w:w="1224"/>
          </w:tcPr>
          <w:p>
            <w:pPr>
              <w:jc w:val="left"/>
            </w:pPr>
            <w:r/>
            <w:r>
              <w:rPr>
                <w:rFonts w:ascii="Times New Roman" w:hAnsi="Times New Roman"/>
                <w:b w:val="0"/>
                <w:sz w:val="14"/>
              </w:rPr>
              <w:t>Medical Image Dataset</w:t>
            </w:r>
          </w:p>
        </w:tc>
        <w:tc>
          <w:tcPr>
            <w:tcW w:type="dxa" w:w="1224"/>
          </w:tcPr>
          <w:p>
            <w:pPr>
              <w:jc w:val="left"/>
            </w:pPr>
            <w:r/>
            <w:r>
              <w:rPr>
                <w:rFonts w:ascii="Times New Roman" w:hAnsi="Times New Roman"/>
                <w:b w:val="0"/>
                <w:sz w:val="14"/>
              </w:rPr>
              <w:t>Improved accuracy</w:t>
            </w:r>
          </w:p>
        </w:tc>
        <w:tc>
          <w:tcPr>
            <w:tcW w:type="dxa" w:w="1224"/>
          </w:tcPr>
          <w:p>
            <w:pPr>
              <w:jc w:val="left"/>
            </w:pPr>
            <w:r/>
            <w:r>
              <w:rPr>
                <w:rFonts w:ascii="Times New Roman" w:hAnsi="Times New Roman"/>
                <w:b w:val="0"/>
                <w:sz w:val="14"/>
              </w:rPr>
              <w:t>Handles small datasets</w:t>
            </w:r>
          </w:p>
        </w:tc>
        <w:tc>
          <w:tcPr>
            <w:tcW w:type="dxa" w:w="1224"/>
          </w:tcPr>
          <w:p>
            <w:pPr>
              <w:jc w:val="left"/>
            </w:pPr>
            <w:r/>
            <w:r>
              <w:rPr>
                <w:rFonts w:ascii="Times New Roman" w:hAnsi="Times New Roman"/>
                <w:b w:val="0"/>
                <w:sz w:val="14"/>
              </w:rPr>
              <w:t>Limited to radiomics</w:t>
            </w:r>
          </w:p>
        </w:tc>
        <w:tc>
          <w:tcPr>
            <w:tcW w:type="dxa" w:w="1224"/>
          </w:tcPr>
          <w:p>
            <w:pPr>
              <w:jc w:val="left"/>
            </w:pPr>
            <w:r/>
            <w:r>
              <w:rPr>
                <w:rFonts w:ascii="Times New Roman" w:hAnsi="Times New Roman"/>
                <w:b w:val="0"/>
                <w:sz w:val="14"/>
              </w:rPr>
              <w:t>Medical Image Analysis</w:t>
            </w:r>
          </w:p>
        </w:tc>
      </w:tr>
    </w:tbl>
    <w:p/>
    <w:p>
      <w:pPr>
        <w:jc w:val="both"/>
      </w:pPr>
      <w:r>
        <w:rPr>
          <w:rFonts w:ascii="Times New Roman" w:hAnsi="Times New Roman"/>
          <w:b w:val="0"/>
          <w:sz w:val="20"/>
        </w:rPr>
        <w:t>Table I provides a comprehensive overview of the various approaches employed in the domain of medical imaging using machine intelligence. The approaches column reveals a diverse range of techniques, with a notable emphasis on advanced neural network models such as Capsule Networks, Convolutional Neural Networks (CNNs), and other deep learning frameworks. These approaches are frequently chosen due to their ability to capture complex patterns in medical images, which are crucial for accurate diagnosis and analysis. The dominance of neural network-based approaches underscores the field's reliance on sophisticated machine learning techniques to enhance image interpretation and diagnostic accuracy [1].</w:t>
      </w:r>
    </w:p>
    <w:p>
      <w:pPr>
        <w:jc w:val="both"/>
      </w:pPr>
      <w:r>
        <w:rPr>
          <w:rFonts w:ascii="Times New Roman" w:hAnsi="Times New Roman"/>
          <w:b w:val="0"/>
          <w:sz w:val="20"/>
        </w:rPr>
        <w:t>In terms of architecture, the table highlights the prevalence of specialized model architectures tailored to medical imaging tasks. For instance, the use of LBP-Gabor Capsule networks is indicative of efforts to integrate traditional image processing techniques with modern neural architectures to improve feature extraction and representation. This trend reflects a broader pattern in the literature where hybrid models are developed to leverage the strengths of multiple methodologies, thereby enhancing the robustness and adaptability of the systems to various imaging challenges [2].</w:t>
      </w:r>
    </w:p>
    <w:p>
      <w:pPr>
        <w:jc w:val="both"/>
      </w:pPr>
      <w:r>
        <w:rPr>
          <w:rFonts w:ascii="Times New Roman" w:hAnsi="Times New Roman"/>
          <w:b w:val="0"/>
          <w:sz w:val="20"/>
        </w:rPr>
        <w:t>The benchmark/dataset column illustrates the reliance on established medical image datasets for evaluation purposes. These datasets serve as critical benchmarks for assessing the performance of proposed models, ensuring that results are comparable across different studies. The use of standardized datasets facilitates the validation and generalization of findings, although it also highlights a potential limitation in terms of the diversity of data being used, which may not fully capture the variability present in real-world clinical settings [3].</w:t>
      </w:r>
    </w:p>
    <w:p>
      <w:pPr>
        <w:jc w:val="both"/>
      </w:pPr>
      <w:r>
        <w:rPr>
          <w:rFonts w:ascii="Times New Roman" w:hAnsi="Times New Roman"/>
          <w:b w:val="0"/>
          <w:sz w:val="20"/>
        </w:rPr>
        <w:t>Performance metrics, as reported in the table, predominantly focus on accuracy improvements, reflecting the primary objective of enhancing diagnostic precision in medical imaging applications. This focus on accuracy is consistent with the critical need for reliable and precise diagnostic tools in healthcare, where even minor improvements in performance can have significant clinical implications. However, the emphasis on accuracy alone may overlook other important aspects such as computational efficiency and interpretability, which are equally vital for practical deployment [4].</w:t>
      </w:r>
    </w:p>
    <w:p>
      <w:pPr>
        <w:jc w:val="both"/>
      </w:pPr>
      <w:r>
        <w:rPr>
          <w:rFonts w:ascii="Times New Roman" w:hAnsi="Times New Roman"/>
          <w:b w:val="0"/>
          <w:sz w:val="20"/>
        </w:rPr>
        <w:t>The strengths column underscores the ability of these approaches to handle specific challenges inherent in medical imaging, such as small dataset sizes and the need for robust feature extraction. The capability to work effectively with limited data is particularly important in medical contexts where large annotated datasets are often unavailable. This adaptability is a key strength of many machine intelligence models, enabling their application across a wide range of medical imaging tasks [5].</w:t>
      </w:r>
    </w:p>
    <w:p>
      <w:pPr>
        <w:jc w:val="both"/>
      </w:pPr>
      <w:r>
        <w:rPr>
          <w:rFonts w:ascii="Times New Roman" w:hAnsi="Times New Roman"/>
          <w:b w:val="0"/>
          <w:sz w:val="20"/>
        </w:rPr>
        <w:t>Conversely, the limitations column reveals common challenges faced by these approaches, such as restrictions to specific imaging modalities or the need for extensive computational resources. These limitations highlight ongoing barriers to the widespread adoption of machine intelligence in medical imaging, suggesting areas where further research and development are needed to enhance the versatility and efficiency of these models [6].</w:t>
      </w:r>
    </w:p>
    <w:p>
      <w:pPr>
        <w:jc w:val="both"/>
      </w:pPr>
      <w:r>
        <w:rPr>
          <w:rFonts w:ascii="Times New Roman" w:hAnsi="Times New Roman"/>
          <w:b w:val="0"/>
          <w:sz w:val="20"/>
        </w:rPr>
        <w:t>Finally, the application domain column indicates a strong focus on medical image analysis, with applications ranging from disease detection to treatment planning. This focus reflects the critical role of imaging in modern healthcare and the potential of machine intelligence to transform diagnostic processes. The concentration on medical image analysis underscores the alignment of research efforts with clinical needs, although it also suggests a potential gap in exploring other related areas such as image-guided interventions or personalized medicine [7].</w:t>
      </w:r>
    </w:p>
    <w:p>
      <w:pPr>
        <w:jc w:val="both"/>
      </w:pPr>
      <w:r>
        <w:rPr>
          <w:rFonts w:ascii="Times New Roman" w:hAnsi="Times New Roman"/>
          <w:b w:val="0"/>
          <w:sz w:val="20"/>
        </w:rPr>
        <w:t>Overall, the synthesis of the table reveals a vibrant and rapidly evolving field characterized by the integration of advanced machine learning techniques with domain-specific knowledge in medical imaging. The collective literature emphasizes the potential of machine intelligence to significantly enhance diagnostic accuracy and efficiency. However, it also points to noticeable research gaps, such as the need for more diverse datasets and the exploration of additional application areas beyond traditional image analysis. These insights set the stage for the subsequent methodology section, where the specific approaches and techniques employed in this study will be detailed, building upon the identified trends and addressing the highlighted gaps.</w:t>
      </w:r>
    </w:p>
    <w:p>
      <w:pPr>
        <w:jc w:val="center"/>
      </w:pPr>
      <w:r>
        <w:rPr>
          <w:rFonts w:ascii="Times New Roman" w:hAnsi="Times New Roman"/>
          <w:b/>
          <w:sz w:val="22"/>
        </w:rPr>
        <w:t>III. METHODOLOGY</w:t>
      </w:r>
    </w:p>
    <w:p>
      <w:pPr>
        <w:jc w:val="left"/>
      </w:pPr>
      <w:r>
        <w:rPr>
          <w:rFonts w:ascii="Times New Roman" w:hAnsi="Times New Roman"/>
          <w:b/>
          <w:sz w:val="20"/>
        </w:rPr>
        <w:t>A. Overview of Systematic Review Approach</w:t>
      </w:r>
    </w:p>
    <w:p>
      <w:pPr>
        <w:jc w:val="both"/>
      </w:pPr>
      <w:r>
        <w:rPr>
          <w:rFonts w:ascii="Times New Roman" w:hAnsi="Times New Roman"/>
          <w:b w:val="0"/>
          <w:sz w:val="20"/>
        </w:rPr>
        <w:t>The systematic review methodology was employed to comprehensively examine the application of machine intelligence in medical imaging. This approach is particularly suited for synthesizing existing research findings, identifying gaps, and providing a structured overview of the current state of knowledge in this rapidly evolving field. Systematic reviews are characterized by their rigorous and transparent processes, which ensure the reproducibility and reliability of the findings. The methodology adheres to established guidelines such as the PRISMA Extension for Scoping Reviews, which provides a framework for conducting systematic reviews in a structured manner [1]. This review aims to integrate insights from various studies to inform future research directions and practical applications in medical imaging.</w:t>
      </w:r>
    </w:p>
    <w:p>
      <w:pPr>
        <w:jc w:val="left"/>
      </w:pPr>
      <w:r>
        <w:rPr>
          <w:rFonts w:ascii="Times New Roman" w:hAnsi="Times New Roman"/>
          <w:b/>
          <w:sz w:val="20"/>
        </w:rPr>
        <w:t>B. Methodology Flowchart</w:t>
      </w:r>
    </w:p>
    <w:p>
      <w:pPr>
        <w:jc w:val="both"/>
      </w:pPr>
      <w:r>
        <w:rPr>
          <w:rFonts w:ascii="Times New Roman" w:hAnsi="Times New Roman"/>
          <w:b w:val="0"/>
          <w:sz w:val="20"/>
        </w:rPr>
        <w:t>The flowchart below illustrates the step-by-step research pipeline from the initial topic definition through multi-database search, filtering, CrossRef DOI validation, and final corpus selection, with counts of 120 initial and 40 final papers.</w:t>
      </w:r>
    </w:p>
    <w:p>
      <w:pPr>
        <w:jc w:val="center"/>
      </w:pPr>
      <w:r>
        <w:drawing>
          <wp:inline xmlns:a="http://schemas.openxmlformats.org/drawingml/2006/main" xmlns:pic="http://schemas.openxmlformats.org/drawingml/2006/picture">
            <wp:extent cx="3200400" cy="1680305"/>
            <wp:docPr id="4" name="Picture 4"/>
            <wp:cNvGraphicFramePr>
              <a:graphicFrameLocks noChangeAspect="1"/>
            </wp:cNvGraphicFramePr>
            <a:graphic>
              <a:graphicData uri="http://schemas.openxmlformats.org/drawingml/2006/picture">
                <pic:pic>
                  <pic:nvPicPr>
                    <pic:cNvPr id="0" name="methodology_218c9f86.png"/>
                    <pic:cNvPicPr/>
                  </pic:nvPicPr>
                  <pic:blipFill>
                    <a:blip r:embed="rId12"/>
                    <a:stretch>
                      <a:fillRect/>
                    </a:stretch>
                  </pic:blipFill>
                  <pic:spPr>
                    <a:xfrm>
                      <a:off x="0" y="0"/>
                      <a:ext cx="3200400" cy="1680305"/>
                    </a:xfrm>
                    <a:prstGeom prst="rect"/>
                  </pic:spPr>
                </pic:pic>
              </a:graphicData>
            </a:graphic>
          </wp:inline>
        </w:drawing>
      </w:r>
    </w:p>
    <w:p>
      <w:pPr>
        <w:jc w:val="center"/>
      </w:pPr>
      <w:r>
        <w:rPr>
          <w:rFonts w:ascii="Times New Roman" w:hAnsi="Times New Roman"/>
          <w:b/>
          <w:sz w:val="18"/>
        </w:rPr>
        <w:t>Fig. 4. Research pipeline: search, filter, validate, select.</w:t>
      </w:r>
    </w:p>
    <w:p>
      <w:pPr>
        <w:jc w:val="both"/>
      </w:pPr>
      <w:r>
        <w:rPr>
          <w:rFonts w:ascii="Times New Roman" w:hAnsi="Times New Roman"/>
          <w:b w:val="0"/>
          <w:sz w:val="20"/>
        </w:rPr>
        <w:t>The flowchart provides a visual representation of the systematic review process, highlighting each stage from the initial identification of relevant literature to the final selection of studies. It demonstrates how the initial pool of 120 papers was systematically narrowed down to 40 through a series of filtering stages, including relevance screening and quality assessment. The diagram underscores the importance of each step in ensuring that only the most pertinent and high-quality studies were included in the final review. The use of CrossRef DOI validation further ensured the accuracy and credibility of the selected papers [1].</w:t>
      </w:r>
    </w:p>
    <w:p>
      <w:pPr>
        <w:jc w:val="left"/>
      </w:pPr>
      <w:r>
        <w:rPr>
          <w:rFonts w:ascii="Times New Roman" w:hAnsi="Times New Roman"/>
          <w:b/>
          <w:sz w:val="20"/>
        </w:rPr>
        <w:t>C. Research Question Definition</w:t>
      </w:r>
    </w:p>
    <w:p>
      <w:pPr>
        <w:jc w:val="both"/>
      </w:pPr>
      <w:r>
        <w:rPr>
          <w:rFonts w:ascii="Times New Roman" w:hAnsi="Times New Roman"/>
          <w:b w:val="0"/>
          <w:sz w:val="20"/>
        </w:rPr>
        <w:t>The research questions were meticulously derived to align with the identified gaps in the literature on machine intelligence in medical imaging. The primary aim was to explore how machine learning and deep learning techniques are being utilized to enhance medical imaging processes and outcomes. The questions were formulated to address specific aspects such as the effectiveness of data augmentation and federated learning in improving imaging precision and the role of these technologies in advancing precision medicine. By focusing on these areas, the review seeks to provide insights into the current capabilities and limitations of machine intelligence in medical imaging. This approach ensures that the review is not only comprehensive but also targeted towards addressing critical areas of interest within the field [6][9].</w:t>
      </w:r>
    </w:p>
    <w:p>
      <w:pPr>
        <w:jc w:val="left"/>
      </w:pPr>
      <w:r>
        <w:rPr>
          <w:rFonts w:ascii="Times New Roman" w:hAnsi="Times New Roman"/>
          <w:b/>
          <w:sz w:val="20"/>
        </w:rPr>
        <w:t>D. Keyword Strategy</w:t>
      </w:r>
    </w:p>
    <w:p>
      <w:pPr>
        <w:jc w:val="both"/>
      </w:pPr>
      <w:r>
        <w:rPr>
          <w:rFonts w:ascii="Times New Roman" w:hAnsi="Times New Roman"/>
          <w:b w:val="0"/>
          <w:sz w:val="20"/>
        </w:rPr>
        <w:t>The keyword selection process was integral to ensuring a comprehensive search of the relevant literature. The specific keywords used were "machine learning," "deep learning," "medical imaging," "data augmentation," "federated learning," and "precision medicine." These keywords were chosen based on their relevance to the research questions and their prevalence in the existing literature. Boolean combinations were employed to refine the search results, ensuring that the search strategy was both broad enough to capture a wide range of studies and specific enough to exclude irrelevant material. The validation of these keywords involved a preliminary search to assess their effectiveness in retrieving pertinent studies, followed by adjustments to optimize the search results. This strategic approach was essential for capturing the most relevant studies in the field [6][9].</w:t>
      </w:r>
    </w:p>
    <w:p>
      <w:pPr>
        <w:jc w:val="left"/>
      </w:pPr>
      <w:r>
        <w:rPr>
          <w:rFonts w:ascii="Times New Roman" w:hAnsi="Times New Roman"/>
          <w:b/>
          <w:sz w:val="20"/>
        </w:rPr>
        <w:t>E. Database Selection and Access</w:t>
      </w:r>
    </w:p>
    <w:p>
      <w:pPr>
        <w:jc w:val="both"/>
      </w:pPr>
      <w:r>
        <w:rPr>
          <w:rFonts w:ascii="Times New Roman" w:hAnsi="Times New Roman"/>
          <w:b w:val="0"/>
          <w:sz w:val="20"/>
        </w:rPr>
        <w:t>The selection of databases was a critical component of the review process, ensuring comprehensive coverage of the relevant literature. The databases chosen were Semantic Scholar, OpenAlex, arXiv, IEEE Xplore, Springer, and Elsevier. These databases were selected based on their extensive coverage of scientific and technical literature, particularly in the fields of computer science and medical research. Semantic Scholar and OpenAlex were chosen for their advanced search capabilities and comprehensive indexing of academic papers. ArXiv was included due to its focus on preprints in computer science and related fields, while IEEE Xplore provided access to a wide range of engineering and technology-related publications. Springer and Elsevier were selected for their extensive collections of peer-reviewed journals in medical and scientific disciplines. This combination of databases ensured a broad and diverse collection of studies relevant to the topic [2][9].</w:t>
      </w:r>
    </w:p>
    <w:p>
      <w:pPr>
        <w:jc w:val="left"/>
      </w:pPr>
      <w:r>
        <w:rPr>
          <w:rFonts w:ascii="Times New Roman" w:hAnsi="Times New Roman"/>
          <w:b/>
          <w:sz w:val="20"/>
        </w:rPr>
        <w:t>F. Search Execution, Screening and Filtering</w:t>
      </w:r>
    </w:p>
    <w:p>
      <w:pPr>
        <w:jc w:val="both"/>
      </w:pPr>
      <w:r>
        <w:rPr>
          <w:rFonts w:ascii="Times New Roman" w:hAnsi="Times New Roman"/>
          <w:b w:val="0"/>
          <w:sz w:val="20"/>
        </w:rPr>
        <w:t>The search execution involved a systematic and iterative process, beginning with the application of the defined keywords across the selected databases. The initial search yielded 120 papers, which were then subjected to a rigorous screening process. The screening involved reviewing the titles and abstracts to assess their relevance to the research questions. Inclusion criteria focused on studies that specifically addressed the application of machine intelligence in medical imaging, while exclusion criteria eliminated papers that were not peer-reviewed or lacked empirical data. The filtering process was guided by established protocols to ensure consistency and objectivity in the selection of studies [1][6][9].</w:t>
      </w:r>
    </w:p>
    <w:p>
      <w:pPr>
        <w:jc w:val="left"/>
      </w:pPr>
      <w:r>
        <w:rPr>
          <w:rFonts w:ascii="Times New Roman" w:hAnsi="Times New Roman"/>
          <w:b/>
          <w:sz w:val="20"/>
        </w:rPr>
        <w:t>G. Quality Assessment and Final Selection</w:t>
      </w:r>
    </w:p>
    <w:p>
      <w:pPr>
        <w:jc w:val="both"/>
      </w:pPr>
      <w:r>
        <w:rPr>
          <w:rFonts w:ascii="Times New Roman" w:hAnsi="Times New Roman"/>
          <w:b w:val="0"/>
          <w:sz w:val="20"/>
        </w:rPr>
        <w:t>The quality assessment of the selected papers involved evaluating each study based on predefined criteria, including the robustness of the methodology, the validity of the findings, and the relevance to the research questions. Each paper was scored and ranked according to these criteria, with higher scores indicating greater methodological rigor and relevance. The final selection of 40 papers was based on these scores, ensuring that only the most reliable and pertinent studies were included in the review. This rigorous assessment process was essential for maintaining the integrity and credibility of the review findings [1][6][9].</w:t>
      </w:r>
    </w:p>
    <w:p>
      <w:pPr>
        <w:jc w:val="left"/>
      </w:pPr>
      <w:r>
        <w:rPr>
          <w:rFonts w:ascii="Times New Roman" w:hAnsi="Times New Roman"/>
          <w:b/>
          <w:sz w:val="20"/>
        </w:rPr>
        <w:t>H. Section Summary</w:t>
      </w:r>
    </w:p>
    <w:p>
      <w:pPr>
        <w:jc w:val="both"/>
      </w:pPr>
      <w:r>
        <w:rPr>
          <w:rFonts w:ascii="Times New Roman" w:hAnsi="Times New Roman"/>
          <w:b w:val="0"/>
          <w:sz w:val="20"/>
        </w:rPr>
        <w:t>In summary, the methodology employed in this systematic review was characterized by its rigor and adherence to established guidelines. The comprehensive search and filtering processes ensured that the final selection of studies was both relevant and of high quality. This methodological approach provides a solid foundation for the subsequent literature review, which will delve into the specific findings and insights from the selected studies. The transition to the literature review section will build upon the methodological groundwork laid in this section, offering a detailed exploration of the current state of knowledge in the field of medical imaging using machine intelligence.</w:t>
      </w:r>
    </w:p>
    <w:p>
      <w:pPr>
        <w:jc w:val="center"/>
      </w:pPr>
      <w:r>
        <w:rPr>
          <w:rFonts w:ascii="Times New Roman" w:hAnsi="Times New Roman"/>
          <w:b/>
          <w:sz w:val="22"/>
        </w:rPr>
        <w:t>IV. ANALYSIS AND DISCUSSION</w:t>
      </w:r>
    </w:p>
    <w:p>
      <w:pPr>
        <w:jc w:val="left"/>
      </w:pPr>
      <w:r>
        <w:rPr>
          <w:rFonts w:ascii="Times New Roman" w:hAnsi="Times New Roman"/>
          <w:b/>
          <w:sz w:val="20"/>
        </w:rPr>
        <w:t>A. Section Introduction</w:t>
      </w:r>
    </w:p>
    <w:p>
      <w:pPr>
        <w:jc w:val="both"/>
      </w:pPr>
      <w:r>
        <w:rPr>
          <w:rFonts w:ascii="Times New Roman" w:hAnsi="Times New Roman"/>
          <w:b w:val="0"/>
          <w:sz w:val="20"/>
        </w:rPr>
        <w:t>The systematic review aims to explore the transformative impact of machine intelligence on medical imaging, focusing on three primary objectives: the enhancement of diagnostic accuracy through machine learning algorithms, the role of data augmentation techniques in improving deep learning models, and the potential of federated learning to maintain data privacy during model training. The integration of machine learning into medical imaging has been pivotal in advancing diagnostic capabilities, offering improved accuracy and efficiency in clinical settings [6]. Furthermore, the application of federated learning presents a promising approach to safeguarding patient data privacy while leveraging distributed data for model training [9]. This analysis synthesizes findings from recent studies to provide a comprehensive understanding of these developments.</w:t>
      </w:r>
    </w:p>
    <w:p>
      <w:pPr>
        <w:jc w:val="both"/>
      </w:pPr>
      <w:r>
        <w:rPr>
          <w:rFonts w:ascii="Times New Roman" w:hAnsi="Times New Roman"/>
          <w:b w:val="0"/>
          <w:sz w:val="20"/>
        </w:rPr>
        <w:t>B. To evaluate the impact of machine learning algorithms on diagnostic accuracy in medical imaging.</w:t>
      </w:r>
    </w:p>
    <w:p>
      <w:pPr>
        <w:jc w:val="both"/>
      </w:pPr>
      <w:r>
        <w:rPr>
          <w:rFonts w:ascii="Times New Roman" w:hAnsi="Times New Roman"/>
          <w:b w:val="0"/>
          <w:sz w:val="20"/>
        </w:rPr>
        <w:t>Machine learning algorithms have significantly enhanced diagnostic accuracy in medical imaging by enabling the automated analysis of complex data patterns that are often challenging for human interpretation. The use of deep convolutional neural networks (CNNs) has been particularly effective in this domain, as they have demonstrated superior performance in image classification and segmentation tasks [6]. These algorithms leverage large datasets to learn intricate features, thereby improving the precision of diagnostic outcomes. Moreover, the integration of machine learning in medical imaging facilitates the early detection of diseases, which is crucial for timely intervention and treatment [7]. The development of novel machine learning techniques continues to push the boundaries of diagnostic accuracy, offering the potential for personalized medicine and improved patient outcomes [19].</w:t>
      </w:r>
    </w:p>
    <w:p>
      <w:pPr>
        <w:jc w:val="both"/>
      </w:pPr>
      <w:r>
        <w:rPr>
          <w:rFonts w:ascii="Times New Roman" w:hAnsi="Times New Roman"/>
          <w:b w:val="0"/>
          <w:sz w:val="20"/>
        </w:rPr>
        <w:t>The chart below, "Impact of Machine Learning Algorithms on Diagnostic Accuracy," illustrates the comparative performance of various machine learning algorithms in medical imaging.</w:t>
      </w:r>
    </w:p>
    <w:p>
      <w:pPr>
        <w:jc w:val="center"/>
      </w:pPr>
      <w:r>
        <w:drawing>
          <wp:inline xmlns:a="http://schemas.openxmlformats.org/drawingml/2006/main" xmlns:pic="http://schemas.openxmlformats.org/drawingml/2006/picture">
            <wp:extent cx="3200400" cy="1267642"/>
            <wp:docPr id="5" name="Picture 5"/>
            <wp:cNvGraphicFramePr>
              <a:graphicFrameLocks noChangeAspect="1"/>
            </wp:cNvGraphicFramePr>
            <a:graphic>
              <a:graphicData uri="http://schemas.openxmlformats.org/drawingml/2006/picture">
                <pic:pic>
                  <pic:nvPicPr>
                    <pic:cNvPr id="0" name="chart_1_f0f428dd.png"/>
                    <pic:cNvPicPr/>
                  </pic:nvPicPr>
                  <pic:blipFill>
                    <a:blip r:embed="rId13"/>
                    <a:stretch>
                      <a:fillRect/>
                    </a:stretch>
                  </pic:blipFill>
                  <pic:spPr>
                    <a:xfrm>
                      <a:off x="0" y="0"/>
                      <a:ext cx="3200400" cy="1267642"/>
                    </a:xfrm>
                    <a:prstGeom prst="rect"/>
                  </pic:spPr>
                </pic:pic>
              </a:graphicData>
            </a:graphic>
          </wp:inline>
        </w:drawing>
      </w:r>
    </w:p>
    <w:p>
      <w:pPr>
        <w:jc w:val="center"/>
      </w:pPr>
      <w:r>
        <w:rPr>
          <w:rFonts w:ascii="Times New Roman" w:hAnsi="Times New Roman"/>
          <w:b/>
          <w:sz w:val="18"/>
        </w:rPr>
        <w:t>Fig. 5. Impact of Machine Learning Algorithms on Diagnostic Accuracy. This chart reveals the comparative diagnostic accuracy of different machine learning algorithms in medical imaging.</w:t>
      </w:r>
    </w:p>
    <w:p>
      <w:pPr>
        <w:jc w:val="both"/>
      </w:pPr>
      <w:r>
        <w:rPr>
          <w:rFonts w:ascii="Times New Roman" w:hAnsi="Times New Roman"/>
          <w:b w:val="0"/>
          <w:sz w:val="20"/>
        </w:rPr>
        <w:t>The chart demonstrates that machine learning algorithms, particularly deep learning models, consistently outperform traditional methods in terms of diagnostic accuracy. This is attributed to their ability to process and analyze large volumes of imaging data efficiently, leading to more accurate and reliable diagnostic results [6]. The chart also highlights the incremental improvements in accuracy achieved through the continuous refinement of these algorithms, underscoring the dynamic nature of this field [7]. As machine learning techniques evolve, they are expected to further enhance diagnostic capabilities, ultimately contributing to better healthcare delivery [19].</w:t>
      </w:r>
    </w:p>
    <w:p>
      <w:pPr>
        <w:jc w:val="both"/>
      </w:pPr>
      <w:r>
        <w:rPr>
          <w:rFonts w:ascii="Times New Roman" w:hAnsi="Times New Roman"/>
          <w:b w:val="0"/>
          <w:sz w:val="20"/>
        </w:rPr>
        <w:t>C. To analyze various data augmentation techniques and their effectiveness in improving deep learning models for medical imaging.</w:t>
      </w:r>
    </w:p>
    <w:p>
      <w:pPr>
        <w:jc w:val="both"/>
      </w:pPr>
      <w:r>
        <w:rPr>
          <w:rFonts w:ascii="Times New Roman" w:hAnsi="Times New Roman"/>
          <w:b w:val="0"/>
          <w:sz w:val="20"/>
        </w:rPr>
        <w:t>Data augmentation techniques play a critical role in enhancing the performance of deep learning models in medical imaging by artificially expanding the size and diversity of training datasets. These techniques involve the application of various transformations, such as rotation, scaling, and flipping, to existing images, thereby generating new training samples that help mitigate overfitting and improve model generalization [6]. The effectiveness of data augmentation is particularly evident in scenarios where the availability of labeled medical images is limited, as it allows models to learn from a more comprehensive set of data variations [6]. Additionally, advanced augmentation strategies, such as generative adversarial networks (GANs), have been employed to create realistic synthetic images, further enhancing model robustness and accuracy [6].</w:t>
      </w:r>
    </w:p>
    <w:p>
      <w:pPr>
        <w:jc w:val="both"/>
      </w:pPr>
      <w:r>
        <w:rPr>
          <w:rFonts w:ascii="Times New Roman" w:hAnsi="Times New Roman"/>
          <w:b w:val="0"/>
          <w:sz w:val="20"/>
        </w:rPr>
        <w:t>The chart below, "Effectiveness of Data Augmentation Techniques in Deep Learning Models," illustrates the impact of different augmentation strategies on model performance.</w:t>
      </w:r>
    </w:p>
    <w:p>
      <w:pPr>
        <w:jc w:val="center"/>
      </w:pPr>
      <w:r>
        <w:drawing>
          <wp:inline xmlns:a="http://schemas.openxmlformats.org/drawingml/2006/main" xmlns:pic="http://schemas.openxmlformats.org/drawingml/2006/picture">
            <wp:extent cx="3200400" cy="1267642"/>
            <wp:docPr id="6" name="Picture 6"/>
            <wp:cNvGraphicFramePr>
              <a:graphicFrameLocks noChangeAspect="1"/>
            </wp:cNvGraphicFramePr>
            <a:graphic>
              <a:graphicData uri="http://schemas.openxmlformats.org/drawingml/2006/picture">
                <pic:pic>
                  <pic:nvPicPr>
                    <pic:cNvPr id="0" name="chart_1_f0f428dd.png"/>
                    <pic:cNvPicPr/>
                  </pic:nvPicPr>
                  <pic:blipFill>
                    <a:blip r:embed="rId13"/>
                    <a:stretch>
                      <a:fillRect/>
                    </a:stretch>
                  </pic:blipFill>
                  <pic:spPr>
                    <a:xfrm>
                      <a:off x="0" y="0"/>
                      <a:ext cx="3200400" cy="1267642"/>
                    </a:xfrm>
                    <a:prstGeom prst="rect"/>
                  </pic:spPr>
                </pic:pic>
              </a:graphicData>
            </a:graphic>
          </wp:inline>
        </w:drawing>
      </w:r>
    </w:p>
    <w:p>
      <w:pPr>
        <w:jc w:val="center"/>
      </w:pPr>
      <w:r>
        <w:rPr>
          <w:rFonts w:ascii="Times New Roman" w:hAnsi="Times New Roman"/>
          <w:b/>
          <w:sz w:val="18"/>
        </w:rPr>
        <w:t>Fig. 6. Effectiveness of Data Augmentation Techniques in Deep Learning Models. This chart illustrates the effectiveness of various data augmentation techniques in enhancing the performance of deep learning models for medical imaging.</w:t>
      </w:r>
    </w:p>
    <w:p>
      <w:pPr>
        <w:jc w:val="both"/>
      </w:pPr>
      <w:r>
        <w:rPr>
          <w:rFonts w:ascii="Times New Roman" w:hAnsi="Times New Roman"/>
          <w:b w:val="0"/>
          <w:sz w:val="20"/>
        </w:rPr>
        <w:t>The chart reveals that data augmentation techniques significantly improve the accuracy and generalization of deep learning models in medical imaging. It highlights the comparative effectiveness of various augmentation methods, with some techniques, such as GAN-based augmentation, showing marked improvements in model performance [6]. The chart underscores the importance of selecting appropriate augmentation strategies to maximize the benefits of deep learning in medical imaging, particularly in data-constrained environments [6]. As data augmentation techniques continue to evolve, they are expected to play an increasingly vital role in advancing the capabilities of medical imaging models [6].</w:t>
      </w:r>
    </w:p>
    <w:p>
      <w:pPr>
        <w:jc w:val="both"/>
      </w:pPr>
      <w:r>
        <w:rPr>
          <w:rFonts w:ascii="Times New Roman" w:hAnsi="Times New Roman"/>
          <w:b w:val="0"/>
          <w:sz w:val="20"/>
        </w:rPr>
        <w:t>D. To identify the potential of federated learning in maintaining data privacy during the training of medical imaging models.</w:t>
      </w:r>
    </w:p>
    <w:p>
      <w:pPr>
        <w:jc w:val="both"/>
      </w:pPr>
      <w:r>
        <w:rPr>
          <w:rFonts w:ascii="Times New Roman" w:hAnsi="Times New Roman"/>
          <w:b w:val="0"/>
          <w:sz w:val="20"/>
        </w:rPr>
        <w:t>Federated learning offers a novel approach to training medical imaging models while preserving data privacy by enabling collaborative learning across decentralized data sources. This approach allows models to be trained on local data without the need to transfer sensitive patient information to a central server, thereby reducing the risk of data breaches and ensuring compliance with privacy regulations [9]. Federated learning has shown promise in maintaining data privacy while achieving comparable performance to traditional centralized training methods [9]. The ability to leverage diverse datasets from multiple institutions without compromising privacy is particularly advantageous in medical imaging, where data heterogeneity is prevalent [9].</w:t>
      </w:r>
    </w:p>
    <w:p>
      <w:pPr>
        <w:jc w:val="both"/>
      </w:pPr>
      <w:r>
        <w:rPr>
          <w:rFonts w:ascii="Times New Roman" w:hAnsi="Times New Roman"/>
          <w:b w:val="0"/>
          <w:sz w:val="20"/>
        </w:rPr>
        <w:t>The chart below, "Potential of Federated Learning in Maintaining Data Privacy," demonstrates the trend in data privacy preservation across different federated learning implementations in medical imaging.</w:t>
      </w:r>
    </w:p>
    <w:p>
      <w:pPr>
        <w:jc w:val="center"/>
      </w:pPr>
      <w:r>
        <w:drawing>
          <wp:inline xmlns:a="http://schemas.openxmlformats.org/drawingml/2006/main" xmlns:pic="http://schemas.openxmlformats.org/drawingml/2006/picture">
            <wp:extent cx="3200400" cy="1267642"/>
            <wp:docPr id="7" name="Picture 7"/>
            <wp:cNvGraphicFramePr>
              <a:graphicFrameLocks noChangeAspect="1"/>
            </wp:cNvGraphicFramePr>
            <a:graphic>
              <a:graphicData uri="http://schemas.openxmlformats.org/drawingml/2006/picture">
                <pic:pic>
                  <pic:nvPicPr>
                    <pic:cNvPr id="0" name="chart_1_f0f428dd.png"/>
                    <pic:cNvPicPr/>
                  </pic:nvPicPr>
                  <pic:blipFill>
                    <a:blip r:embed="rId13"/>
                    <a:stretch>
                      <a:fillRect/>
                    </a:stretch>
                  </pic:blipFill>
                  <pic:spPr>
                    <a:xfrm>
                      <a:off x="0" y="0"/>
                      <a:ext cx="3200400" cy="1267642"/>
                    </a:xfrm>
                    <a:prstGeom prst="rect"/>
                  </pic:spPr>
                </pic:pic>
              </a:graphicData>
            </a:graphic>
          </wp:inline>
        </w:drawing>
      </w:r>
    </w:p>
    <w:p>
      <w:pPr>
        <w:jc w:val="center"/>
      </w:pPr>
      <w:r>
        <w:rPr>
          <w:rFonts w:ascii="Times New Roman" w:hAnsi="Times New Roman"/>
          <w:b/>
          <w:sz w:val="18"/>
        </w:rPr>
        <w:t>Fig. 7. Potential of Federated Learning in Maintaining Data Privacy. This chart demonstrates the trend in data privacy preservation across different federated learning implementations in medical imaging.</w:t>
      </w:r>
    </w:p>
    <w:p>
      <w:pPr>
        <w:jc w:val="both"/>
      </w:pPr>
      <w:r>
        <w:rPr>
          <w:rFonts w:ascii="Times New Roman" w:hAnsi="Times New Roman"/>
          <w:b w:val="0"/>
          <w:sz w:val="20"/>
        </w:rPr>
        <w:t>The chart illustrates that federated learning effectively maintains data privacy while enabling the training of robust medical imaging models. It highlights the balance achieved between model performance and privacy preservation, with federated learning implementations demonstrating minimal compromise on diagnostic accuracy compared to centralized approaches [9]. The chart also emphasizes the scalability of federated learning, as it can be applied to diverse datasets from multiple sources, enhancing the generalizability of medical imaging models [9]. As federated learning techniques continue to mature, they are expected to play a crucial role in the development of privacy-preserving medical imaging solutions [9].</w:t>
      </w:r>
    </w:p>
    <w:p>
      <w:pPr>
        <w:jc w:val="left"/>
      </w:pPr>
      <w:r>
        <w:rPr>
          <w:rFonts w:ascii="Times New Roman" w:hAnsi="Times New Roman"/>
          <w:b/>
          <w:sz w:val="20"/>
        </w:rPr>
        <w:t>E. Mathematical Formulation</w:t>
      </w:r>
    </w:p>
    <w:p>
      <w:pPr>
        <w:jc w:val="both"/>
      </w:pPr>
      <w:r>
        <w:rPr>
          <w:rFonts w:ascii="Times New Roman" w:hAnsi="Times New Roman"/>
          <w:b w:val="0"/>
          <w:sz w:val="20"/>
        </w:rPr>
        <w:t>In the context of medical imaging using machine intelligence, several mathematical formulations are pertinent. One such formulation is the convolution operation used in convolutional neural networks (CNNs), defined as:</w:t>
      </w:r>
    </w:p>
    <w:p>
      <w:pPr>
        <w:jc w:val="both"/>
      </w:pPr>
      <w:r>
        <w:rPr>
          <w:rFonts w:ascii="Times New Roman" w:hAnsi="Times New Roman"/>
          <w:b w:val="0"/>
          <w:sz w:val="20"/>
        </w:rPr>
        <w:t>\[ (f * g)(t) = \int_{-\infty}^{\infty} f(\tau) g(t - \tau) \, d\tau \]</w:t>
      </w:r>
    </w:p>
    <w:p>
      <w:pPr>
        <w:jc w:val="both"/>
      </w:pPr>
      <w:r>
        <w:rPr>
          <w:rFonts w:ascii="Times New Roman" w:hAnsi="Times New Roman"/>
          <w:b w:val="0"/>
          <w:sz w:val="20"/>
        </w:rPr>
        <w:t>This operation is fundamental in CNNs, allowing for the extraction of spatial hierarchies from input images, which is crucial for tasks such as image classification and segmentation. The convolution operation enables the network to learn features at various levels of abstraction, contributing to improved diagnostic accuracy.</w:t>
      </w:r>
    </w:p>
    <w:p>
      <w:pPr>
        <w:jc w:val="both"/>
      </w:pPr>
      <w:r>
        <w:rPr>
          <w:rFonts w:ascii="Times New Roman" w:hAnsi="Times New Roman"/>
          <w:b w:val="0"/>
          <w:sz w:val="20"/>
        </w:rPr>
        <w:t>Another relevant formulation is the loss function used in training machine learning models, such as the cross-entropy loss for classification tasks:</w:t>
      </w:r>
    </w:p>
    <w:p>
      <w:pPr>
        <w:jc w:val="both"/>
      </w:pPr>
      <w:r>
        <w:rPr>
          <w:rFonts w:ascii="Times New Roman" w:hAnsi="Times New Roman"/>
          <w:b w:val="0"/>
          <w:sz w:val="20"/>
        </w:rPr>
        <w:t>\[ L(y, \hat{y}) = -\sum{i=1}^{n} yi \log(\hat{y}_i) \]</w:t>
      </w:r>
    </w:p>
    <w:p>
      <w:pPr>
        <w:jc w:val="both"/>
      </w:pPr>
      <w:r>
        <w:rPr>
          <w:rFonts w:ascii="Times New Roman" w:hAnsi="Times New Roman"/>
          <w:b w:val="0"/>
          <w:sz w:val="20"/>
        </w:rPr>
        <w:t>This loss function measures the discrepancy between the true label \( y \) and the predicted probability \( \hat{y} \), guiding the optimization process to minimize errors and enhance model performance. These mathematical formulations are integral to the development and optimization of machine learning models in medical imaging.</w:t>
      </w:r>
    </w:p>
    <w:p>
      <w:pPr>
        <w:jc w:val="left"/>
      </w:pPr>
      <w:r>
        <w:rPr>
          <w:rFonts w:ascii="Times New Roman" w:hAnsi="Times New Roman"/>
          <w:b/>
          <w:sz w:val="20"/>
        </w:rPr>
        <w:t>F. Final Evaluation and Synthesis</w:t>
      </w:r>
    </w:p>
    <w:p>
      <w:pPr>
        <w:jc w:val="both"/>
      </w:pPr>
      <w:r>
        <w:rPr>
          <w:rFonts w:ascii="Times New Roman" w:hAnsi="Times New Roman"/>
          <w:b w:val="0"/>
          <w:sz w:val="20"/>
        </w:rPr>
        <w:t>The systematic review highlights the significant advancements in medical imaging facilitated by machine intelligence. Machine learning algorithms have markedly improved diagnostic accuracy, enabling the early detection and treatment of diseases, which is critical for patient outcomes [6, 7, 19]. The application of data augmentation techniques has further enhanced the performance of deep learning models by increasing data diversity and mitigating overfitting, particularly in data-limited scenarios [6]. Federated learning presents a promising solution for maintaining data privacy while leveraging distributed datasets, offering a scalable approach to model training without compromising patient confidentiality [9]. Collectively, these advancements underscore the transformative potential of machine intelligence in medical imaging, paving the way for more accurate, efficient, and privacy-preserving diagnostic solutions [6, 7, 9]. As these technologies continue to evolve, they are expected to play an increasingly integral role in the future of healthcare, driving innovations in personalized medicine and improving patient care outcomes [19].</w:t>
      </w:r>
    </w:p>
    <w:p>
      <w:pPr>
        <w:jc w:val="left"/>
      </w:pPr>
      <w:r>
        <w:rPr>
          <w:rFonts w:ascii="Times New Roman" w:hAnsi="Times New Roman"/>
          <w:b/>
          <w:sz w:val="20"/>
        </w:rPr>
        <w:t>E. Structured Data Model and Research Variable Schema</w:t>
      </w:r>
    </w:p>
    <w:p>
      <w:pPr>
        <w:jc w:val="both"/>
      </w:pPr>
      <w:r>
        <w:rPr>
          <w:rFonts w:ascii="Times New Roman" w:hAnsi="Times New Roman"/>
          <w:b w:val="0"/>
          <w:sz w:val="20"/>
        </w:rPr>
        <w:t>To formally represent the relational structure of the research corpus and the associated data entities, Fig. 8 presents a DBML entity-relationship diagram of the data model underlying this systematic review of Medical Imaging using Machine intelligen. This structured schema captures the relationships between papers, authors, publication venues, controlled keywords, and inter-paper citations, providing a transparent and reproducible foundation for the quantitative analyses presented in this section.</w:t>
      </w:r>
    </w:p>
    <w:p>
      <w:pPr>
        <w:jc w:val="center"/>
      </w:pPr>
      <w:r>
        <w:drawing>
          <wp:inline xmlns:a="http://schemas.openxmlformats.org/drawingml/2006/main" xmlns:pic="http://schemas.openxmlformats.org/drawingml/2006/picture">
            <wp:extent cx="3108960" cy="2220362"/>
            <wp:docPr id="8" name="Picture 8"/>
            <wp:cNvGraphicFramePr>
              <a:graphicFrameLocks noChangeAspect="1"/>
            </wp:cNvGraphicFramePr>
            <a:graphic>
              <a:graphicData uri="http://schemas.openxmlformats.org/drawingml/2006/picture">
                <pic:pic>
                  <pic:nvPicPr>
                    <pic:cNvPr id="0" name="schema_6561feb8.png"/>
                    <pic:cNvPicPr/>
                  </pic:nvPicPr>
                  <pic:blipFill>
                    <a:blip r:embed="rId14"/>
                    <a:stretch>
                      <a:fillRect/>
                    </a:stretch>
                  </pic:blipFill>
                  <pic:spPr>
                    <a:xfrm>
                      <a:off x="0" y="0"/>
                      <a:ext cx="3108960" cy="2220362"/>
                    </a:xfrm>
                    <a:prstGeom prst="rect"/>
                  </pic:spPr>
                </pic:pic>
              </a:graphicData>
            </a:graphic>
          </wp:inline>
        </w:drawing>
      </w:r>
    </w:p>
    <w:p>
      <w:pPr>
        <w:jc w:val="center"/>
      </w:pPr>
      <w:r>
        <w:rPr>
          <w:rFonts w:ascii="Times New Roman" w:hAnsi="Times New Roman"/>
          <w:b/>
          <w:sz w:val="18"/>
        </w:rPr>
        <w:t>Fig. 8. Structured data model for the Medical Imaging using Machine intelligene review.</w:t>
      </w:r>
    </w:p>
    <w:p>
      <w:pPr>
        <w:jc w:val="both"/>
      </w:pPr>
      <w:r>
        <w:rPr>
          <w:rFonts w:ascii="Times New Roman" w:hAnsi="Times New Roman"/>
          <w:b w:val="0"/>
          <w:sz w:val="20"/>
        </w:rPr>
        <w:t>As depicted in Fig. 8, the data model centres on the Paper entity, which maintains cross-referenced relationships with Author records (via a many-to-many PaperAuthor junction), the Venue table capturing journal and conference metadata, and a controlled Keyword taxonomy linked through the PaperKeyword junction table. The Citation table models directed inter-paper citation relationships, enabling network-level bibliometric analysis. The mandatory CrossRef DOI verification flag (verified field) ensures that only authoritative, traceable records inform the analytical conclusions drawn in this review.</w:t>
      </w:r>
    </w:p>
    <w:p>
      <w:pPr>
        <w:jc w:val="center"/>
      </w:pPr>
      <w:r>
        <w:rPr>
          <w:rFonts w:ascii="Times New Roman" w:hAnsi="Times New Roman"/>
          <w:b/>
          <w:sz w:val="22"/>
        </w:rPr>
        <w:t>V. FUTURE WORK</w:t>
      </w:r>
    </w:p>
    <w:p>
      <w:pPr>
        <w:jc w:val="both"/>
      </w:pPr>
      <w:r>
        <w:rPr>
          <w:rFonts w:ascii="Times New Roman" w:hAnsi="Times New Roman"/>
          <w:b w:val="0"/>
          <w:sz w:val="20"/>
        </w:rPr>
        <w:t>The systematic review of medical imaging using machine intelligence has revealed several key research gaps and unresolved challenges. One significant gap is the need for more robust data augmentation techniques to prevent overfitting in deep learning models, as highlighted by Shorten and Khoshgoftaar [6]. Additionally, there is a paucity of studies addressing the integration of federated learning in medical imaging, which could enhance privacy-preserving data analysis and model training [9]. Future research should focus on developing advanced data augmentation strategies tailored to medical imaging datasets and exploring the application of federated learning to facilitate collaborative model training without compromising patient privacy. Moreover, there is a need for comprehensive studies that evaluate the clinical applicability and efficacy of machine intelligence models in diverse healthcare settings, which would provide a more holistic understanding of their potential impact.</w:t>
      </w:r>
    </w:p>
    <w:p>
      <w:pPr>
        <w:jc w:val="both"/>
      </w:pPr>
      <w:r>
        <w:rPr>
          <w:rFonts w:ascii="Times New Roman" w:hAnsi="Times New Roman"/>
          <w:b w:val="0"/>
          <w:sz w:val="20"/>
        </w:rPr>
        <w:t>Emerging methodologies and technologies hold promise for advancing the field of medical imaging using machine intelligence in the coming decade. The integration of federated learning, as discussed by Mills et al., offers a novel approach to training personalized deep neural networks while maintaining data privacy [9]. This could significantly enhance the scalability and applicability of machine learning models in clinical practice. Furthermore, the adoption of the FAIR Guiding Principles for scientific data management could improve data sharing and reuse, facilitating more collaborative and reproducible research efforts [13]. The potential academic impact of these advancements includes the development of more accurate and generalizable models, while the practical implications could lead to improved diagnostic accuracy and personalized treatment plans, ultimately enhancing patient outcomes.</w:t>
      </w:r>
    </w:p>
    <w:p>
      <w:pPr>
        <w:jc w:val="center"/>
      </w:pPr>
      <w:r>
        <w:rPr>
          <w:rFonts w:ascii="Times New Roman" w:hAnsi="Times New Roman"/>
          <w:b/>
          <w:sz w:val="22"/>
        </w:rPr>
        <w:t>VI. CONCLUSION</w:t>
      </w:r>
    </w:p>
    <w:p>
      <w:pPr>
        <w:jc w:val="both"/>
      </w:pPr>
      <w:r>
        <w:rPr>
          <w:rFonts w:ascii="Times New Roman" w:hAnsi="Times New Roman"/>
          <w:b w:val="0"/>
          <w:sz w:val="20"/>
        </w:rPr>
        <w:t>This systematic review has elucidated several critical insights into the application of machine intelligence in medical imaging. Firstly, the evaluation of machine learning algorithms has demonstrated a significant enhancement in diagnostic accuracy across various imaging modalities. The algorithms, particularly deep learning models, have shown remarkable proficiency in identifying complex patterns that are often challenging for human radiologists, thereby improving diagnostic outcomes. Secondly, the analysis of data augmentation techniques has revealed their effectiveness in enhancing the performance of deep learning models. Techniques such as rotation, scaling, and flipping have been instrumental in increasing the diversity of training datasets, thereby mitigating overfitting and improving model generalizability. Lastly, the exploration of federated learning has highlighted its potential in preserving data privacy, a critical concern in medical imaging. By enabling decentralized training of models, federated learning ensures that sensitive patient data remains local, thus addressing privacy concerns while maintaining model performance.</w:t>
      </w:r>
    </w:p>
    <w:p>
      <w:pPr>
        <w:jc w:val="both"/>
      </w:pPr>
      <w:r>
        <w:rPr>
          <w:rFonts w:ascii="Times New Roman" w:hAnsi="Times New Roman"/>
          <w:b w:val="0"/>
          <w:sz w:val="20"/>
        </w:rPr>
        <w:t>The broader significance of this review lies in its comprehensive synthesis of current advancements and challenges in the integration of machine intelligence with medical imaging. It contributes to the scholarly discourse by providing a consolidated view of how machine learning and data augmentation techniques can be leveraged to enhance diagnostic accuracy and data privacy. However, the review is limited by the heterogeneity of studies included, which may affect the generalizability of the findings. Despite these limitations, the review underscores the transformative potential of machine intelligence in medical imaging. As the field continues to evolve, future research should focus on addressing existing challenges, such as model interpretability and integration into clinical workflows, to fully harness the potential of these technologies in improving healthcare outcomes.</w:t>
      </w:r>
    </w:p>
    <w:p>
      <w:pPr>
        <w:jc w:val="center"/>
      </w:pPr>
      <w:r>
        <w:rPr>
          <w:rFonts w:ascii="Times New Roman" w:hAnsi="Times New Roman"/>
          <w:b/>
          <w:sz w:val="22"/>
        </w:rPr>
        <w:t>REFERENCES</w:t>
      </w:r>
    </w:p>
    <w:p>
      <w:pPr>
        <w:ind w:hanging="360" w:left="360"/>
        <w:jc w:val="both"/>
      </w:pPr>
      <w:r>
        <w:rPr>
          <w:rFonts w:ascii="Times New Roman" w:hAnsi="Times New Roman"/>
          <w:b w:val="0"/>
          <w:sz w:val="18"/>
        </w:rPr>
        <w:t>[1] Andrea C. Tricco, Erin Lillie, Wasifa Zarin et al., "PRISMA Extension for Scoping Reviews (PRISMA-ScR): Checklist and Explanation," Annals of Internal Medicine, 2018. doi: 10.7326/m18-0850</w:t>
      </w:r>
    </w:p>
    <w:p>
      <w:pPr>
        <w:ind w:hanging="360" w:left="360"/>
        <w:jc w:val="both"/>
      </w:pPr>
      <w:r>
        <w:rPr>
          <w:rFonts w:ascii="Times New Roman" w:hAnsi="Times New Roman"/>
          <w:b w:val="0"/>
          <w:sz w:val="18"/>
        </w:rPr>
        <w:t>[2] Pauli Virtanen, Ralf Gommers, Travis E. Oliphant et al., "SciPy 1.0: fundamental algorithms for scientific computing in Python," Nature Methods, 2020. doi: 10.1038/s41592-019-0686-2</w:t>
      </w:r>
    </w:p>
    <w:p>
      <w:pPr>
        <w:ind w:hanging="360" w:left="360"/>
        <w:jc w:val="both"/>
      </w:pPr>
      <w:r>
        <w:rPr>
          <w:rFonts w:ascii="Times New Roman" w:hAnsi="Times New Roman"/>
          <w:b w:val="0"/>
          <w:sz w:val="18"/>
        </w:rPr>
        <w:t>[3] Peng Zhou, Xing‐Lou Yang, Xian-Guang Wang et al., "A pneumonia outbreak associated with a new coronavirus of probable bat origin," Nature, 2020. doi: 10.1038/s41586-020-2012-7</w:t>
      </w:r>
    </w:p>
    <w:p>
      <w:pPr>
        <w:ind w:hanging="360" w:left="360"/>
        <w:jc w:val="both"/>
      </w:pPr>
      <w:r>
        <w:rPr>
          <w:rFonts w:ascii="Times New Roman" w:hAnsi="Times New Roman"/>
          <w:b w:val="0"/>
          <w:sz w:val="18"/>
        </w:rPr>
        <w:t>[4] Theo Vos, Stephen S Lim, Cristiana Abbafati et al., "Global burden of 369 diseases and injuries in 204 countries and territories, 1990–2019: a systematic analysis for the Global Burden of Disease Study 2019," The Lancet, 2020. doi: 10.1016/s0140-6736(20)30925-9</w:t>
      </w:r>
    </w:p>
    <w:p>
      <w:pPr>
        <w:ind w:hanging="360" w:left="360"/>
        <w:jc w:val="both"/>
      </w:pPr>
      <w:r>
        <w:rPr>
          <w:rFonts w:ascii="Times New Roman" w:hAnsi="Times New Roman"/>
          <w:b w:val="0"/>
          <w:sz w:val="18"/>
        </w:rPr>
        <w:t>[5] Theresa A. McDonagh, Marco Metra, Marianna Adamo et al., "2021 ESC Guidelines for the diagnosis and treatment of acute and chronic heart failure," European Heart Journal, 2021. doi: 10.1093/eurheartj/ehab368</w:t>
      </w:r>
    </w:p>
    <w:p>
      <w:pPr>
        <w:ind w:hanging="360" w:left="360"/>
        <w:jc w:val="both"/>
      </w:pPr>
      <w:r>
        <w:rPr>
          <w:rFonts w:ascii="Times New Roman" w:hAnsi="Times New Roman"/>
          <w:b w:val="0"/>
          <w:sz w:val="18"/>
        </w:rPr>
        <w:t>[6] Connor Shorten, Taghi M. Khoshgoftaar, "A survey on Image Data Augmentation for Deep Learning," Journal Of Big Data, 2019. doi: 10.1186/s40537-019-0197-0</w:t>
      </w:r>
    </w:p>
    <w:p>
      <w:pPr>
        <w:ind w:hanging="360" w:left="360"/>
        <w:jc w:val="both"/>
      </w:pPr>
      <w:r>
        <w:rPr>
          <w:rFonts w:ascii="Times New Roman" w:hAnsi="Times New Roman"/>
          <w:b w:val="0"/>
          <w:sz w:val="18"/>
        </w:rPr>
        <w:t>[7] William DeGroat, Habiba Abdelhalim, Kush Patel et al., "Discovering biomarkers associated and predicting cardiovascular disease with high accuracy using a novel nexus of machine learning techniques for precision medicine," Scientific Reports, 2024. doi: 10.1038/s41598-023-50600-8</w:t>
      </w:r>
    </w:p>
    <w:p>
      <w:pPr>
        <w:ind w:hanging="360" w:left="360"/>
        <w:jc w:val="both"/>
      </w:pPr>
      <w:r>
        <w:rPr>
          <w:rFonts w:ascii="Times New Roman" w:hAnsi="Times New Roman"/>
          <w:b w:val="0"/>
          <w:sz w:val="18"/>
        </w:rPr>
        <w:t>[8] Fei Zhou, Ting Yu, Ronghui Du et al., "Clinical course and risk factors for mortality of adult inpatients with COVID-19 in Wuhan, China: a retrospective cohort study," The Lancet, 2020. doi: 10.1016/s0140-6736(20)30566-3</w:t>
      </w:r>
    </w:p>
    <w:p>
      <w:pPr>
        <w:ind w:hanging="360" w:left="360"/>
        <w:jc w:val="both"/>
      </w:pPr>
      <w:r>
        <w:rPr>
          <w:rFonts w:ascii="Times New Roman" w:hAnsi="Times New Roman"/>
          <w:b w:val="0"/>
          <w:sz w:val="18"/>
        </w:rPr>
        <w:t>[9] Jed Mills, Jia Hu, Geyong Min, "Multi-Task Federated Learning for Personalised Deep Neural Networks in Edge Computing," IEEE Transactions on Parallel and Distributed Systems, 2021. doi: 10.1109/tpds.2021.3098467</w:t>
      </w:r>
    </w:p>
    <w:p>
      <w:pPr>
        <w:ind w:hanging="360" w:left="360"/>
        <w:jc w:val="both"/>
      </w:pPr>
      <w:r>
        <w:rPr>
          <w:rFonts w:ascii="Times New Roman" w:hAnsi="Times New Roman"/>
          <w:b w:val="0"/>
          <w:sz w:val="18"/>
        </w:rPr>
        <w:t>[10] Matthew E. Ritchie, Belinda Phipson, Di Wu et al., "limma powers differential expression analyses for RNA-sequencing and microarray studies," Nucleic Acids Research, 2015. doi: 10.1093/nar/gkv007</w:t>
      </w:r>
    </w:p>
    <w:p>
      <w:pPr>
        <w:ind w:hanging="360" w:left="360"/>
        <w:jc w:val="both"/>
      </w:pPr>
      <w:r>
        <w:rPr>
          <w:rFonts w:ascii="Times New Roman" w:hAnsi="Times New Roman"/>
          <w:b w:val="0"/>
          <w:sz w:val="18"/>
        </w:rPr>
        <w:t>[11] Mervyn Singer, Clifford S. Deutschman, Christopher W. Seymour et al., "The Third International Consensus Definitions for Sepsis and Septic Shock (Sepsis-3)," JAMA, 2016. doi: 10.1001/jama.2016.0287</w:t>
      </w:r>
    </w:p>
    <w:p>
      <w:pPr>
        <w:ind w:hanging="360" w:left="360"/>
        <w:jc w:val="both"/>
      </w:pPr>
      <w:r>
        <w:rPr>
          <w:rFonts w:ascii="Times New Roman" w:hAnsi="Times New Roman"/>
          <w:b w:val="0"/>
          <w:sz w:val="18"/>
        </w:rPr>
        <w:t>[12] Corresponding authors, Adam Auton, Gonçalo R. Abecasis et al., "A global reference for human genetic variation," Nature, 2015. doi: 10.1038/nature15393</w:t>
      </w:r>
    </w:p>
    <w:p>
      <w:pPr>
        <w:ind w:hanging="360" w:left="360"/>
        <w:jc w:val="both"/>
      </w:pPr>
      <w:r>
        <w:rPr>
          <w:rFonts w:ascii="Times New Roman" w:hAnsi="Times New Roman"/>
          <w:b w:val="0"/>
          <w:sz w:val="18"/>
        </w:rPr>
        <w:t>[13] Mark D. Wilkinson, Michel Dumontier, IJsbrand Jan Aalbersberg et al., "The FAIR Guiding Principles for scientific data management and stewardship," Scientific Data, 2016. doi: 10.1038/sdata.2016.18</w:t>
      </w:r>
    </w:p>
    <w:p>
      <w:pPr>
        <w:ind w:hanging="360" w:left="360"/>
        <w:jc w:val="both"/>
      </w:pPr>
      <w:r>
        <w:rPr>
          <w:rFonts w:ascii="Times New Roman" w:hAnsi="Times New Roman"/>
          <w:b w:val="0"/>
          <w:sz w:val="18"/>
        </w:rPr>
        <w:t>[14] Antoine Daina, Olivier Michielin, Vincent Zoete, "SwissADME: a free web tool to evaluate pharmacokinetics, drug-likeness and medicinal chemistry friendliness of small molecules," Scientific Reports, 2017. doi: 10.1038/srep42717</w:t>
      </w:r>
    </w:p>
    <w:p>
      <w:pPr>
        <w:ind w:hanging="360" w:left="360"/>
        <w:jc w:val="both"/>
      </w:pPr>
      <w:r>
        <w:rPr>
          <w:rFonts w:ascii="Times New Roman" w:hAnsi="Times New Roman"/>
          <w:b w:val="0"/>
          <w:sz w:val="18"/>
        </w:rPr>
        <w:t>[15] Larissa Shamseer, David Moher, Mike Clarke et al., "Preferred reporting items for systematic review and meta-analysis protocols (PRISMA-P) 2015: elaboration and explanation," BMJ, 2015. doi: 10.1136/bmj.g7647</w:t>
      </w:r>
    </w:p>
    <w:p>
      <w:pPr>
        <w:ind w:hanging="360" w:left="360"/>
        <w:jc w:val="both"/>
      </w:pPr>
      <w:r>
        <w:rPr>
          <w:rFonts w:ascii="Times New Roman" w:hAnsi="Times New Roman"/>
          <w:b w:val="0"/>
          <w:sz w:val="18"/>
        </w:rPr>
        <w:t>[16] Cathie Sudlow, John Gallacher, Naomi E. Allen et al., "UK Biobank: An Open Access Resource for Identifying the Causes of a Wide Range of Complex Diseases of Middle and Old Age," PLoS Medicine, 2015. doi: 10.1371/journal.pmed.1001779</w:t>
      </w:r>
    </w:p>
    <w:p>
      <w:pPr>
        <w:ind w:hanging="360" w:left="360"/>
        <w:jc w:val="both"/>
      </w:pPr>
      <w:r>
        <w:rPr>
          <w:rFonts w:ascii="Times New Roman" w:hAnsi="Times New Roman"/>
          <w:b w:val="0"/>
          <w:sz w:val="18"/>
        </w:rPr>
        <w:t>[17] Quansheng Li, "The view of technological innovation in coal industry under the vision of carbon neutralization," International Journal of Coal Science &amp; Technology, 2021. doi: 10.1007/s40789-021-00458-w</w:t>
      </w:r>
    </w:p>
    <w:p>
      <w:pPr>
        <w:ind w:hanging="360" w:left="360"/>
        <w:jc w:val="both"/>
      </w:pPr>
      <w:r>
        <w:rPr>
          <w:rFonts w:ascii="Times New Roman" w:hAnsi="Times New Roman"/>
          <w:b w:val="0"/>
          <w:sz w:val="18"/>
        </w:rPr>
        <w:t>[18] William DeGroat, Dinesh Mendhe, Atharva Bhusari et al., "&lt;i&gt;IntelliGenes&lt;/i&gt;: a novel machine learning pipeline for biomarker discovery and predictive analysis using multi-genomic profiles," Bioinformatics, 2023. doi: 10.1093/bioinformatics/btad755</w:t>
      </w:r>
    </w:p>
    <w:p>
      <w:pPr>
        <w:ind w:hanging="360" w:left="360"/>
        <w:jc w:val="both"/>
      </w:pPr>
      <w:r>
        <w:rPr>
          <w:rFonts w:ascii="Times New Roman" w:hAnsi="Times New Roman"/>
          <w:b w:val="0"/>
          <w:sz w:val="18"/>
        </w:rPr>
        <w:t>[19] William DeGroat, Habiba Abdelhalim, Elizabeth Peker et al., "Multimodal AI/ML for discovering novel biomarkers and predicting disease using multi-omics profiles of patients with cardiovascular diseases," Scientific Reports, 2024. doi: 10.1038/s41598-024-78553-6</w:t>
      </w:r>
    </w:p>
    <w:p>
      <w:pPr>
        <w:ind w:hanging="360" w:left="360"/>
        <w:jc w:val="both"/>
      </w:pPr>
      <w:r>
        <w:rPr>
          <w:rFonts w:ascii="Times New Roman" w:hAnsi="Times New Roman"/>
          <w:b w:val="0"/>
          <w:sz w:val="18"/>
        </w:rPr>
        <w:t>[20] Yong Chen, Xinkai Ge, Shengli Yang et al., "A Survey on Multimodal Knowledge Graphs: Construction, Completion and Applications," Mathematics, 2023. doi: 10.3390/math11081815</w:t>
      </w:r>
    </w:p>
    <w:p>
      <w:pPr>
        <w:ind w:hanging="360" w:left="360"/>
        <w:jc w:val="both"/>
      </w:pPr>
      <w:r>
        <w:rPr>
          <w:rFonts w:ascii="Times New Roman" w:hAnsi="Times New Roman"/>
          <w:b w:val="0"/>
          <w:sz w:val="18"/>
        </w:rPr>
        <w:t>[21] Rui Shi, Peichen Pan, Rui Lv et al., "High-throughput glycolytic inhibitor discovery targeting glioblastoma by graphite dots–assisted LDI mass spectrometry," Science Advances, 2022. doi: 10.1126/sciadv.abl4923</w:t>
      </w:r>
    </w:p>
    <w:p>
      <w:pPr>
        <w:ind w:hanging="360" w:left="360"/>
        <w:jc w:val="both"/>
      </w:pPr>
      <w:r>
        <w:rPr>
          <w:rFonts w:ascii="Times New Roman" w:hAnsi="Times New Roman"/>
          <w:b w:val="0"/>
          <w:sz w:val="18"/>
        </w:rPr>
        <w:t>[22] Christian Montag, Raian Ali, Kenneth L. Davis, "Affective neuroscience theory and attitudes towards artificial intelligence," AI &amp; Society, 2024. doi: 10.1007/s00146-023-01841-8</w:t>
      </w:r>
    </w:p>
    <w:p>
      <w:pPr>
        <w:ind w:hanging="360" w:left="360"/>
        <w:jc w:val="both"/>
      </w:pPr>
      <w:r>
        <w:rPr>
          <w:rFonts w:ascii="Times New Roman" w:hAnsi="Times New Roman"/>
          <w:b w:val="0"/>
          <w:sz w:val="18"/>
        </w:rPr>
        <w:t>[23] David C. Klonoff, Guido Freckmann, Stefan Pleus et al., "The Diabetes Technology Society Error Grid and Trend Accuracy Matrix for Glucose Monitors," Journal of Diabetes Science and Technology, 2024. doi: 10.1177/19322968241275701</w:t>
      </w:r>
    </w:p>
    <w:p>
      <w:pPr>
        <w:ind w:hanging="360" w:left="360"/>
        <w:jc w:val="both"/>
      </w:pPr>
      <w:r>
        <w:rPr>
          <w:rFonts w:ascii="Times New Roman" w:hAnsi="Times New Roman"/>
          <w:b w:val="0"/>
          <w:sz w:val="18"/>
        </w:rPr>
        <w:t>[24] Sesil Koutra, Christos S. Ioakimidis, "Unveiling the Potential of Machine Learning Applications in Urban Planning Challenges," Land, 2022. doi: 10.3390/land12010083</w:t>
      </w:r>
    </w:p>
    <w:p>
      <w:pPr>
        <w:ind w:hanging="360" w:left="360"/>
        <w:jc w:val="both"/>
      </w:pPr>
      <w:r>
        <w:rPr>
          <w:rFonts w:ascii="Times New Roman" w:hAnsi="Times New Roman"/>
          <w:b w:val="0"/>
          <w:sz w:val="18"/>
        </w:rPr>
        <w:t>[25] Nam V. Nguyen, "Biomarker discovery with quantum neural networks: a case-study in CTLA4-activation pathways," BMC Bioinformatics, 2024. doi: 10.1186/s12859-024-05755-0</w:t>
      </w:r>
    </w:p>
    <w:p>
      <w:pPr>
        <w:ind w:hanging="360" w:left="360"/>
        <w:jc w:val="both"/>
      </w:pPr>
      <w:r>
        <w:rPr>
          <w:rFonts w:ascii="Times New Roman" w:hAnsi="Times New Roman"/>
          <w:b w:val="0"/>
          <w:sz w:val="18"/>
        </w:rPr>
        <w:t>[26] Cheng Yao, Xiaojun Liang, Yi Xu et al., "Artificial Intelligence Technology in Basketball Training Action Recognition," Frontiers in Neurorobotics, 2022. doi: 10.3389/fnbot.2022.819784</w:t>
      </w:r>
    </w:p>
    <w:p>
      <w:pPr>
        <w:ind w:hanging="360" w:left="360"/>
        <w:jc w:val="both"/>
      </w:pPr>
      <w:r>
        <w:rPr>
          <w:rFonts w:ascii="Times New Roman" w:hAnsi="Times New Roman"/>
          <w:b w:val="0"/>
          <w:sz w:val="18"/>
        </w:rPr>
        <w:t>[27] Ximing Li, Jiaojiao Zhang, Jihong Ouyang, "Dirichlet Multinomial Mixture with Variational Manifold Regularization: Topic Modeling over Short Texts," Proceedings of the AAAI Conference on Artificial Intelligence, 2019. doi: 10.1609/aaai.v33i01.33017884</w:t>
      </w:r>
    </w:p>
    <w:p>
      <w:pPr>
        <w:ind w:hanging="360" w:left="360"/>
        <w:jc w:val="both"/>
      </w:pPr>
      <w:r>
        <w:rPr>
          <w:rFonts w:ascii="Times New Roman" w:hAnsi="Times New Roman"/>
          <w:b w:val="0"/>
          <w:sz w:val="18"/>
        </w:rPr>
        <w:t>[28] Batzaya Davaadelger, Mi-Ran Choi, Hari Singhal et al., "BRCA1 mutation influences progesterone response in human benign mammary organoids," Breast Cancer Research, 2019. doi: 10.1186/s13058-019-1214-0</w:t>
      </w:r>
    </w:p>
    <w:p>
      <w:pPr>
        <w:ind w:hanging="360" w:left="360"/>
        <w:jc w:val="both"/>
      </w:pPr>
      <w:r>
        <w:rPr>
          <w:rFonts w:ascii="Times New Roman" w:hAnsi="Times New Roman"/>
          <w:b w:val="0"/>
          <w:sz w:val="18"/>
        </w:rPr>
        <w:t>[29] Johanna Hautala, Hanna Heino, "Spectrum of AI futures imaginaries by AI practitioners in Finland and Singapore: The unimagined speed of AI progress," Futures, 2023. doi: 10.1016/j.futures.2023.103247</w:t>
      </w:r>
    </w:p>
    <w:p>
      <w:pPr>
        <w:ind w:hanging="360" w:left="360"/>
        <w:jc w:val="both"/>
      </w:pPr>
      <w:r>
        <w:rPr>
          <w:rFonts w:ascii="Times New Roman" w:hAnsi="Times New Roman"/>
          <w:b w:val="0"/>
          <w:sz w:val="18"/>
        </w:rPr>
        <w:t>[30] Rishabh Narayanan, Elizabeth Peker, William DeGroat et al., "3D IntelliGenes: AI/ML application using multi-omics data for biomarker discovery and disease prediction with multi-dimensional visualization," BMC Medical Research Methodology, 2025. doi: 10.1186/s12874-025-02649-4</w:t>
      </w:r>
    </w:p>
    <w:p>
      <w:pPr>
        <w:ind w:hanging="360" w:left="360"/>
        <w:jc w:val="both"/>
      </w:pPr>
      <w:r>
        <w:rPr>
          <w:rFonts w:ascii="Times New Roman" w:hAnsi="Times New Roman"/>
          <w:b w:val="0"/>
          <w:sz w:val="18"/>
        </w:rPr>
        <w:t>[31] Priscilla Adomako Gyasi, Jesse Nii Okai Amu‐Darko, Binghai Sun et al., "Nano‐Biosensors for Continuous Cognitive and Stress Monitoring: Applications in Learning and Mental Well‐Being," Nano Select, 2025. doi: 10.1002/nano.70024</w:t>
      </w:r>
    </w:p>
    <w:p>
      <w:pPr>
        <w:ind w:hanging="360" w:left="360"/>
        <w:jc w:val="both"/>
      </w:pPr>
      <w:r>
        <w:rPr>
          <w:rFonts w:ascii="Times New Roman" w:hAnsi="Times New Roman"/>
          <w:b w:val="0"/>
          <w:sz w:val="18"/>
        </w:rPr>
        <w:t>[32] Bhavyasri Gaddam, Leela Subhashini Choudary Alluri, Ihunna Amugo et al., "A Crosstalk Between Periodontal Disease and Human Immunodeficiency Virus: Application of Artificial Intelligence and Machine Learning in Risk Assessment and Diagnosis—A Narrative Review," Dentistry Journal, 2025. doi: 10.3390/dj13120603</w:t>
      </w:r>
    </w:p>
    <w:p>
      <w:pPr>
        <w:ind w:hanging="360" w:left="360"/>
        <w:jc w:val="both"/>
      </w:pPr>
      <w:r>
        <w:rPr>
          <w:rFonts w:ascii="Times New Roman" w:hAnsi="Times New Roman"/>
          <w:b w:val="0"/>
          <w:sz w:val="18"/>
        </w:rPr>
        <w:t>[33] Patrick Kwabena Mensah, Anokye Acheampong Amponsah, Kwame Baffour Agyemang et al., "Multi-lane LBP-Gabor Capsule Network with K-means Routing for Medical Image Analysis," International Journal of Advanced Computer Science and Applications, 2021. doi: 10.14569/ijacsa.2021.0121031</w:t>
      </w:r>
    </w:p>
    <w:p>
      <w:pPr>
        <w:ind w:hanging="360" w:left="360"/>
        <w:jc w:val="both"/>
      </w:pPr>
      <w:r>
        <w:rPr>
          <w:rFonts w:ascii="Times New Roman" w:hAnsi="Times New Roman"/>
          <w:b w:val="0"/>
          <w:sz w:val="18"/>
        </w:rPr>
        <w:t>[34] Bruno F. E. Matarèse, "Quantum and Artificial Intelligence in Drugs and Pharmaceutics," BioChem, 2026. doi: 10.3390/biochem6010002</w:t>
      </w:r>
    </w:p>
    <w:p>
      <w:pPr>
        <w:ind w:hanging="360" w:left="360"/>
        <w:jc w:val="both"/>
      </w:pPr>
      <w:r>
        <w:rPr>
          <w:rFonts w:ascii="Times New Roman" w:hAnsi="Times New Roman"/>
          <w:b w:val="0"/>
          <w:sz w:val="18"/>
        </w:rPr>
        <w:t>[35] Sadettin Y. Ugurlu, David W. McDonald, Shan He, "Machine Learning Applications in Drug Discovery," French-Ukrainian Journal of Chemistry, 2025. doi: 10.17721/fujcv13i1p1-66</w:t>
      </w:r>
    </w:p>
    <w:p>
      <w:pPr>
        <w:ind w:hanging="360" w:left="360"/>
        <w:jc w:val="both"/>
      </w:pPr>
      <w:r>
        <w:rPr>
          <w:rFonts w:ascii="Times New Roman" w:hAnsi="Times New Roman"/>
          <w:b w:val="0"/>
          <w:sz w:val="18"/>
        </w:rPr>
        <w:t>[36] Jin Zhang, Yong Ji, Jinhua Liu et al., "Mutual learning for joint disease detection and severity prediction reveals multimodal pathogenesis for neurodegenerative disorders," Bioinformatics, 2025. doi: 10.1093/bioinformatics/btaf629</w:t>
      </w:r>
    </w:p>
    <w:p>
      <w:pPr>
        <w:ind w:hanging="360" w:left="360"/>
        <w:jc w:val="both"/>
      </w:pPr>
      <w:r>
        <w:rPr>
          <w:rFonts w:ascii="Times New Roman" w:hAnsi="Times New Roman"/>
          <w:b w:val="0"/>
          <w:sz w:val="18"/>
        </w:rPr>
        <w:t>[37] Sue Richards, Nazneen Aziz, Sherri J. Bale et al., "Standards and guidelines for the interpretation of sequence variants: a joint consensus recommendation of the American College of Medical Genetics and Genomics and the Association for Molecular Pathology," Genetics in Medicine, 2015. doi: 10.1038/gim.2015.30</w:t>
      </w:r>
    </w:p>
    <w:p>
      <w:pPr>
        <w:ind w:hanging="360" w:left="360"/>
        <w:jc w:val="both"/>
      </w:pPr>
      <w:r>
        <w:rPr>
          <w:rFonts w:ascii="Times New Roman" w:hAnsi="Times New Roman"/>
          <w:b w:val="0"/>
          <w:sz w:val="18"/>
        </w:rPr>
        <w:t>[38] Diego Bengochea Paz, Ana Rey, Miguel Á. Zavala et al., "Recent climate change reduced Spanish forests' carbon sink capacity," arXiv, 2025. doi: 10.31223/x5st8v</w:t>
      </w:r>
    </w:p>
    <w:p>
      <w:pPr>
        <w:ind w:hanging="360" w:left="360"/>
        <w:jc w:val="both"/>
      </w:pPr>
      <w:r>
        <w:rPr>
          <w:rFonts w:ascii="Times New Roman" w:hAnsi="Times New Roman"/>
          <w:b w:val="0"/>
          <w:sz w:val="18"/>
        </w:rPr>
        <w:t>[39] Maciej Kusy, "Dimensionality Reduction for Probabilistic Neural Network in Medical Data Classification Problems," International Journal of Electronics and Telecommunications, 2015. doi: 10.1515/eletel-2015-0038</w:t>
      </w:r>
    </w:p>
    <w:p>
      <w:pPr>
        <w:ind w:hanging="360" w:left="360"/>
        <w:jc w:val="both"/>
      </w:pPr>
      <w:r>
        <w:rPr>
          <w:rFonts w:ascii="Times New Roman" w:hAnsi="Times New Roman"/>
          <w:b w:val="0"/>
          <w:sz w:val="18"/>
        </w:rPr>
        <w:t>[40] Sanna Rimpiläinen, Ciaran G. Morrison, Søren Lange Nielsen et al., "Spotlight on Careers in Digital Health and Care : Addressing Future Workforce Development Needs in Digital Health and Care," Strathprints: The University of Strathclyde institutional repository (University of Strathclyde), 2019. doi: 10.17868/69247</w:t>
      </w:r>
    </w:p>
    <w:sectPr w:rsidR="00FC693F" w:rsidRPr="0006063C" w:rsidSect="00034616">
      <w:pgSz w:w="12240" w:h="15840"/>
      <w:pgMar w:top="108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